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0A68" w14:textId="244A4477" w:rsidR="00B933D4" w:rsidRPr="00C42373" w:rsidRDefault="00551252" w:rsidP="00620EFA">
      <w:pPr>
        <w:rPr>
          <w:lang w:val="nl-NL"/>
        </w:rPr>
      </w:pPr>
      <w:r>
        <w:rPr>
          <w:noProof/>
        </w:rPr>
        <w:drawing>
          <wp:anchor distT="0" distB="0" distL="114300" distR="114300" simplePos="0" relativeHeight="251716096" behindDoc="1" locked="0" layoutInCell="1" allowOverlap="1" wp14:anchorId="035B983A" wp14:editId="4881CA27">
            <wp:simplePos x="0" y="0"/>
            <wp:positionH relativeFrom="margin">
              <wp:align>left</wp:align>
            </wp:positionH>
            <wp:positionV relativeFrom="paragraph">
              <wp:posOffset>-419100</wp:posOffset>
            </wp:positionV>
            <wp:extent cx="7559675" cy="11590020"/>
            <wp:effectExtent l="0" t="0" r="3175" b="0"/>
            <wp:wrapNone/>
            <wp:docPr id="699078865" name="Picture 2" descr="An aerial view of a sta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78865" name="Picture 2" descr="An aerial view of a stadiu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1590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57FD7" w:rsidRPr="00C42373">
        <w:rPr>
          <w:noProof/>
          <w:lang w:val="nl-NL"/>
        </w:rPr>
        <w:t xml:space="preserve"> </w:t>
      </w:r>
      <w:r w:rsidR="007146D0" w:rsidRPr="00C42373">
        <w:rPr>
          <w:noProof/>
          <w:lang w:val="nl-NL"/>
        </w:rPr>
        <w:softHyphen/>
      </w:r>
      <w:r w:rsidR="007146D0" w:rsidRPr="00C42373">
        <w:rPr>
          <w:noProof/>
          <w:lang w:val="nl-NL"/>
        </w:rPr>
        <w:softHyphen/>
      </w:r>
    </w:p>
    <w:p w14:paraId="6A4B34C2" w14:textId="77777777" w:rsidR="00B933D4" w:rsidRPr="00C42373" w:rsidRDefault="00033C80">
      <w:pPr>
        <w:rPr>
          <w:lang w:val="nl-NL"/>
        </w:rPr>
      </w:pPr>
      <w:r w:rsidRPr="00C42373">
        <w:rPr>
          <w:noProof/>
          <w:lang w:val="nl-NL"/>
        </w:rPr>
        <w:drawing>
          <wp:anchor distT="0" distB="0" distL="114300" distR="114300" simplePos="0" relativeHeight="251685376" behindDoc="0" locked="0" layoutInCell="1" allowOverlap="1" wp14:anchorId="0C970938" wp14:editId="19495BFF">
            <wp:simplePos x="0" y="0"/>
            <wp:positionH relativeFrom="margin">
              <wp:posOffset>4320540</wp:posOffset>
            </wp:positionH>
            <wp:positionV relativeFrom="margin">
              <wp:posOffset>540385</wp:posOffset>
            </wp:positionV>
            <wp:extent cx="2700000" cy="1198800"/>
            <wp:effectExtent l="0" t="0" r="0" b="0"/>
            <wp:wrapSquare wrapText="bothSides"/>
            <wp:docPr id="22" name="Picture 2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000" cy="119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3F5C7" w14:textId="650982C0" w:rsidR="00B933D4" w:rsidRPr="00C42373" w:rsidRDefault="00B933D4">
      <w:pPr>
        <w:rPr>
          <w:lang w:val="nl-NL"/>
        </w:rPr>
      </w:pPr>
    </w:p>
    <w:p w14:paraId="7E68C46E" w14:textId="77777777" w:rsidR="00B933D4" w:rsidRPr="00C42373" w:rsidRDefault="0080392E" w:rsidP="00014D21">
      <w:pPr>
        <w:tabs>
          <w:tab w:val="left" w:pos="4171"/>
        </w:tabs>
        <w:rPr>
          <w:lang w:val="nl-NL"/>
        </w:rPr>
      </w:pPr>
      <w:r w:rsidRPr="00C42373">
        <w:rPr>
          <w:lang w:val="nl-NL"/>
        </w:rPr>
        <w:t xml:space="preserve"> </w:t>
      </w:r>
      <w:r w:rsidR="00014D21" w:rsidRPr="00C42373">
        <w:rPr>
          <w:lang w:val="nl-NL"/>
        </w:rPr>
        <w:tab/>
      </w:r>
    </w:p>
    <w:p w14:paraId="1444BACE" w14:textId="5CE19212" w:rsidR="00B933D4" w:rsidRPr="00C42373" w:rsidRDefault="00B933D4">
      <w:pPr>
        <w:rPr>
          <w:lang w:val="nl-NL"/>
        </w:rPr>
      </w:pPr>
    </w:p>
    <w:p w14:paraId="2BBF3AA4" w14:textId="79A9F5D6" w:rsidR="00B933D4" w:rsidRPr="00C42373" w:rsidRDefault="00B933D4">
      <w:pPr>
        <w:rPr>
          <w:lang w:val="nl-NL"/>
        </w:rPr>
      </w:pPr>
    </w:p>
    <w:p w14:paraId="62397C32" w14:textId="4DA86CD9" w:rsidR="007D75B0" w:rsidRPr="00C42373" w:rsidRDefault="007D75B0">
      <w:pPr>
        <w:rPr>
          <w:lang w:val="nl-NL"/>
        </w:rPr>
      </w:pPr>
    </w:p>
    <w:p w14:paraId="525E631A" w14:textId="77777777" w:rsidR="00226F46" w:rsidRPr="00C42373" w:rsidRDefault="00226F46">
      <w:pPr>
        <w:rPr>
          <w:lang w:val="nl-NL"/>
        </w:rPr>
      </w:pPr>
    </w:p>
    <w:p w14:paraId="0A0CCD97" w14:textId="63DAABD4" w:rsidR="00A55E7C" w:rsidRPr="00C42373" w:rsidRDefault="00551252">
      <w:pPr>
        <w:rPr>
          <w:lang w:val="nl-NL"/>
        </w:rPr>
        <w:sectPr w:rsidR="00A55E7C" w:rsidRPr="00C42373" w:rsidSect="00CC606B">
          <w:footnotePr>
            <w:numFmt w:val="lowerRoman"/>
          </w:footnotePr>
          <w:endnotePr>
            <w:numFmt w:val="decimal"/>
          </w:endnotePr>
          <w:pgSz w:w="11905" w:h="16837" w:code="9"/>
          <w:pgMar w:top="0" w:right="0" w:bottom="0" w:left="0" w:header="851" w:footer="851" w:gutter="0"/>
          <w:pgNumType w:fmt="lowerRoman" w:start="1"/>
          <w:cols w:space="708"/>
          <w:noEndnote/>
          <w:docGrid w:linePitch="88"/>
        </w:sectPr>
      </w:pPr>
      <w:r w:rsidRPr="00551252">
        <w:rPr>
          <w:noProof/>
          <w:lang w:val="nl-NL"/>
        </w:rPr>
        <mc:AlternateContent>
          <mc:Choice Requires="wps">
            <w:drawing>
              <wp:anchor distT="45720" distB="45720" distL="114300" distR="114300" simplePos="0" relativeHeight="251722240" behindDoc="0" locked="0" layoutInCell="1" allowOverlap="1" wp14:anchorId="59AF72F0" wp14:editId="128377D6">
                <wp:simplePos x="0" y="0"/>
                <wp:positionH relativeFrom="column">
                  <wp:posOffset>350520</wp:posOffset>
                </wp:positionH>
                <wp:positionV relativeFrom="paragraph">
                  <wp:posOffset>7719060</wp:posOffset>
                </wp:positionV>
                <wp:extent cx="1539240" cy="1404620"/>
                <wp:effectExtent l="0" t="0" r="22860" b="21590"/>
                <wp:wrapSquare wrapText="bothSides"/>
                <wp:docPr id="1304269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solidFill>
                          <a:srgbClr val="FFFFFF"/>
                        </a:solidFill>
                        <a:ln w="9525">
                          <a:solidFill>
                            <a:srgbClr val="000000"/>
                          </a:solidFill>
                          <a:miter lim="800000"/>
                          <a:headEnd/>
                          <a:tailEnd/>
                        </a:ln>
                      </wps:spPr>
                      <wps:txbx>
                        <w:txbxContent>
                          <w:p w14:paraId="027645C9" w14:textId="203EC4B6" w:rsidR="00551252" w:rsidRPr="00551252" w:rsidRDefault="006A5FF7">
                            <w:pPr>
                              <w:rPr>
                                <w:b/>
                                <w:bCs/>
                                <w:color w:val="61013E"/>
                                <w:sz w:val="24"/>
                                <w:szCs w:val="24"/>
                              </w:rPr>
                            </w:pPr>
                            <w:r>
                              <w:rPr>
                                <w:b/>
                                <w:bCs/>
                                <w:color w:val="61013E"/>
                                <w:sz w:val="24"/>
                                <w:szCs w:val="24"/>
                                <w:lang w:val="nl-NL"/>
                              </w:rPr>
                              <w:t>1</w:t>
                            </w:r>
                            <w:r w:rsidR="00E443BA">
                              <w:rPr>
                                <w:b/>
                                <w:bCs/>
                                <w:color w:val="61013E"/>
                                <w:sz w:val="24"/>
                                <w:szCs w:val="24"/>
                                <w:lang w:val="nl-NL"/>
                              </w:rPr>
                              <w:t>1</w:t>
                            </w:r>
                            <w:r>
                              <w:rPr>
                                <w:b/>
                                <w:bCs/>
                                <w:color w:val="61013E"/>
                                <w:sz w:val="24"/>
                                <w:szCs w:val="24"/>
                                <w:lang w:val="nl-NL"/>
                              </w:rPr>
                              <w:t xml:space="preserve"> December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AF72F0" id="_x0000_t202" coordsize="21600,21600" o:spt="202" path="m,l,21600r21600,l21600,xe">
                <v:stroke joinstyle="miter"/>
                <v:path gradientshapeok="t" o:connecttype="rect"/>
              </v:shapetype>
              <v:shape id="Text Box 2" o:spid="_x0000_s1026" type="#_x0000_t202" style="position:absolute;margin-left:27.6pt;margin-top:607.8pt;width:121.2pt;height:110.6pt;z-index:251722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">
                <v:textbox style="mso-fit-shape-to-text:t">
                  <w:txbxContent>
                    <w:p w14:paraId="027645C9" w14:textId="203EC4B6" w:rsidR="00551252" w:rsidRPr="00551252" w:rsidRDefault="006A5FF7">
                      <w:pPr>
                        <w:rPr>
                          <w:b/>
                          <w:bCs/>
                          <w:color w:val="61013E"/>
                          <w:sz w:val="24"/>
                          <w:szCs w:val="24"/>
                        </w:rPr>
                      </w:pPr>
                      <w:r>
                        <w:rPr>
                          <w:b/>
                          <w:bCs/>
                          <w:color w:val="61013E"/>
                          <w:sz w:val="24"/>
                          <w:szCs w:val="24"/>
                          <w:lang w:val="nl-NL"/>
                        </w:rPr>
                        <w:t>1</w:t>
                      </w:r>
                      <w:r w:rsidR="00E443BA">
                        <w:rPr>
                          <w:b/>
                          <w:bCs/>
                          <w:color w:val="61013E"/>
                          <w:sz w:val="24"/>
                          <w:szCs w:val="24"/>
                          <w:lang w:val="nl-NL"/>
                        </w:rPr>
                        <w:t>1</w:t>
                      </w:r>
                      <w:r>
                        <w:rPr>
                          <w:b/>
                          <w:bCs/>
                          <w:color w:val="61013E"/>
                          <w:sz w:val="24"/>
                          <w:szCs w:val="24"/>
                          <w:lang w:val="nl-NL"/>
                        </w:rPr>
                        <w:t xml:space="preserve"> December 2025</w:t>
                      </w:r>
                    </w:p>
                  </w:txbxContent>
                </v:textbox>
                <w10:wrap type="square"/>
              </v:shape>
            </w:pict>
          </mc:Fallback>
        </mc:AlternateContent>
      </w:r>
      <w:r w:rsidR="00413C5E" w:rsidRPr="00C42373">
        <w:rPr>
          <w:noProof/>
          <w:lang w:val="nl-NL"/>
        </w:rPr>
        <mc:AlternateContent>
          <mc:Choice Requires="wps">
            <w:drawing>
              <wp:anchor distT="45720" distB="45720" distL="114300" distR="114300" simplePos="0" relativeHeight="251704832" behindDoc="0" locked="0" layoutInCell="1" allowOverlap="1" wp14:anchorId="2E5B1763" wp14:editId="56FED95A">
                <wp:simplePos x="0" y="0"/>
                <wp:positionH relativeFrom="margin">
                  <wp:posOffset>335280</wp:posOffset>
                </wp:positionH>
                <wp:positionV relativeFrom="paragraph">
                  <wp:posOffset>5227320</wp:posOffset>
                </wp:positionV>
                <wp:extent cx="6479540" cy="2268855"/>
                <wp:effectExtent l="0" t="0" r="16510" b="1714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268855"/>
                        </a:xfrm>
                        <a:prstGeom prst="rect">
                          <a:avLst/>
                        </a:prstGeom>
                        <a:solidFill>
                          <a:srgbClr val="FFFFFF"/>
                        </a:solidFill>
                        <a:ln w="9525">
                          <a:solidFill>
                            <a:schemeClr val="bg1"/>
                          </a:solidFill>
                          <a:miter lim="800000"/>
                          <a:headEnd/>
                          <a:tailEnd/>
                        </a:ln>
                      </wps:spPr>
                      <wps:txbx>
                        <w:txbxContent>
                          <w:p w14:paraId="450A3782" w14:textId="77777777" w:rsidR="00551252" w:rsidRDefault="000D7390" w:rsidP="00413C5E">
                            <w:pPr>
                              <w:pStyle w:val="EGWTitlepageSubtitle"/>
                              <w:rPr>
                                <w:b/>
                                <w:sz w:val="50"/>
                                <w:szCs w:val="50"/>
                                <w:lang w:val="nl-NL"/>
                              </w:rPr>
                            </w:pPr>
                            <w:bookmarkStart w:id="0" w:name="_Hlk215568684"/>
                            <w:r w:rsidRPr="00551252">
                              <w:rPr>
                                <w:b/>
                                <w:sz w:val="60"/>
                                <w:szCs w:val="60"/>
                                <w:lang w:val="nl-NL"/>
                              </w:rPr>
                              <w:t xml:space="preserve">De </w:t>
                            </w:r>
                            <w:r w:rsidRPr="00551252">
                              <w:rPr>
                                <w:b/>
                                <w:sz w:val="60"/>
                                <w:szCs w:val="60"/>
                                <w:lang w:val="nl-NL"/>
                              </w:rPr>
                              <w:t>hoge prijs van</w:t>
                            </w:r>
                            <w:r w:rsidR="00757FD7" w:rsidRPr="00551252">
                              <w:rPr>
                                <w:b/>
                                <w:sz w:val="60"/>
                                <w:szCs w:val="60"/>
                                <w:lang w:val="nl-NL"/>
                              </w:rPr>
                              <w:t xml:space="preserve"> </w:t>
                            </w:r>
                            <w:r w:rsidR="00C54A55" w:rsidRPr="00551252">
                              <w:rPr>
                                <w:b/>
                                <w:sz w:val="60"/>
                                <w:szCs w:val="60"/>
                                <w:lang w:val="nl-NL"/>
                              </w:rPr>
                              <w:t>koper uit Congo</w:t>
                            </w:r>
                            <w:r w:rsidR="00046807" w:rsidRPr="00551252">
                              <w:rPr>
                                <w:b/>
                                <w:sz w:val="60"/>
                                <w:szCs w:val="60"/>
                                <w:lang w:val="nl-NL"/>
                              </w:rPr>
                              <w:t>:</w:t>
                            </w:r>
                            <w:r w:rsidRPr="00467C8D">
                              <w:rPr>
                                <w:b/>
                                <w:sz w:val="64"/>
                                <w:szCs w:val="64"/>
                                <w:lang w:val="nl-NL"/>
                              </w:rPr>
                              <w:t xml:space="preserve"> </w:t>
                            </w:r>
                            <w:bookmarkEnd w:id="0"/>
                            <w:r w:rsidR="00274AAB" w:rsidRPr="00551252">
                              <w:rPr>
                                <w:b/>
                                <w:sz w:val="50"/>
                                <w:szCs w:val="50"/>
                                <w:lang w:val="nl-NL"/>
                              </w:rPr>
                              <w:t xml:space="preserve">Nederlandse investeringen </w:t>
                            </w:r>
                            <w:r w:rsidR="00046807" w:rsidRPr="00551252">
                              <w:rPr>
                                <w:b/>
                                <w:sz w:val="50"/>
                                <w:szCs w:val="50"/>
                                <w:lang w:val="nl-NL"/>
                              </w:rPr>
                              <w:t xml:space="preserve">en misstanden </w:t>
                            </w:r>
                            <w:r w:rsidR="000A38F6" w:rsidRPr="00551252">
                              <w:rPr>
                                <w:b/>
                                <w:sz w:val="50"/>
                                <w:szCs w:val="50"/>
                                <w:lang w:val="nl-NL"/>
                              </w:rPr>
                              <w:t>bij de grootste kopermijn van Afrika</w:t>
                            </w:r>
                            <w:r w:rsidR="00046807" w:rsidRPr="00551252">
                              <w:rPr>
                                <w:b/>
                                <w:sz w:val="50"/>
                                <w:szCs w:val="50"/>
                                <w:lang w:val="nl-NL"/>
                              </w:rPr>
                              <w:t xml:space="preserve"> </w:t>
                            </w:r>
                          </w:p>
                          <w:p w14:paraId="68CF4259" w14:textId="091D531D" w:rsidR="00413C5E" w:rsidRPr="000D7390" w:rsidRDefault="00757FD7" w:rsidP="00413C5E">
                            <w:pPr>
                              <w:pStyle w:val="EGWTitlepageSubtitle"/>
                              <w:rPr>
                                <w:sz w:val="60"/>
                                <w:szCs w:val="60"/>
                                <w:lang w:val="nl-NL"/>
                              </w:rPr>
                            </w:pPr>
                            <w:r w:rsidRPr="00551252">
                              <w:rPr>
                                <w:b/>
                                <w:sz w:val="50"/>
                                <w:szCs w:val="50"/>
                                <w:lang w:val="nl-NL"/>
                              </w:rPr>
                              <w:br/>
                            </w:r>
                            <w:r w:rsidR="0070061F" w:rsidRPr="00551252">
                              <w:rPr>
                                <w:sz w:val="36"/>
                                <w:szCs w:val="36"/>
                                <w:lang w:val="nl-NL"/>
                              </w:rPr>
                              <w:t>Een praktijkonderzoek voor de Eerlijke Geldwijzer</w:t>
                            </w:r>
                          </w:p>
                        </w:txbxContent>
                      </wps:txbx>
                      <wps:bodyPr rot="0" vert="horz" wrap="square" lIns="180000" tIns="108000" rIns="180000" bIns="180000" anchor="b" anchorCtr="0">
                        <a:noAutofit/>
                      </wps:bodyPr>
                    </wps:wsp>
                  </a:graphicData>
                </a:graphic>
                <wp14:sizeRelH relativeFrom="margin">
                  <wp14:pctWidth>0</wp14:pctWidth>
                </wp14:sizeRelH>
                <wp14:sizeRelV relativeFrom="margin">
                  <wp14:pctHeight>0</wp14:pctHeight>
                </wp14:sizeRelV>
              </wp:anchor>
            </w:drawing>
          </mc:Choice>
          <mc:Fallback>
            <w:pict>
              <v:shape w14:anchorId="2E5B1763" id="_x0000_s1027" type="#_x0000_t202" style="position:absolute;margin-left:26.4pt;margin-top:411.6pt;width:510.2pt;height:178.6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" strokecolor="white [3212]">
                <v:textbox inset="5mm,3mm,5mm,5mm">
                  <w:txbxContent>
                    <w:p w14:paraId="450A3782" w14:textId="77777777" w:rsidR="00551252" w:rsidRDefault="000D7390" w:rsidP="00413C5E">
                      <w:pPr>
                        <w:pStyle w:val="EGWTitlepageSubtitle"/>
                        <w:rPr>
                          <w:b/>
                          <w:sz w:val="50"/>
                          <w:szCs w:val="50"/>
                          <w:lang w:val="nl-NL"/>
                        </w:rPr>
                      </w:pPr>
                      <w:bookmarkStart w:id="1" w:name="_Hlk215568684"/>
                      <w:r w:rsidRPr="00551252">
                        <w:rPr>
                          <w:b/>
                          <w:sz w:val="60"/>
                          <w:szCs w:val="60"/>
                          <w:lang w:val="nl-NL"/>
                        </w:rPr>
                        <w:t xml:space="preserve">De </w:t>
                      </w:r>
                      <w:r w:rsidRPr="00551252">
                        <w:rPr>
                          <w:b/>
                          <w:sz w:val="60"/>
                          <w:szCs w:val="60"/>
                          <w:lang w:val="nl-NL"/>
                        </w:rPr>
                        <w:t>hoge prijs van</w:t>
                      </w:r>
                      <w:r w:rsidR="00757FD7" w:rsidRPr="00551252">
                        <w:rPr>
                          <w:b/>
                          <w:sz w:val="60"/>
                          <w:szCs w:val="60"/>
                          <w:lang w:val="nl-NL"/>
                        </w:rPr>
                        <w:t xml:space="preserve"> </w:t>
                      </w:r>
                      <w:r w:rsidR="00C54A55" w:rsidRPr="00551252">
                        <w:rPr>
                          <w:b/>
                          <w:sz w:val="60"/>
                          <w:szCs w:val="60"/>
                          <w:lang w:val="nl-NL"/>
                        </w:rPr>
                        <w:t>koper uit Congo</w:t>
                      </w:r>
                      <w:r w:rsidR="00046807" w:rsidRPr="00551252">
                        <w:rPr>
                          <w:b/>
                          <w:sz w:val="60"/>
                          <w:szCs w:val="60"/>
                          <w:lang w:val="nl-NL"/>
                        </w:rPr>
                        <w:t>:</w:t>
                      </w:r>
                      <w:r w:rsidRPr="00467C8D">
                        <w:rPr>
                          <w:b/>
                          <w:sz w:val="64"/>
                          <w:szCs w:val="64"/>
                          <w:lang w:val="nl-NL"/>
                        </w:rPr>
                        <w:t xml:space="preserve"> </w:t>
                      </w:r>
                      <w:bookmarkEnd w:id="1"/>
                      <w:r w:rsidR="00274AAB" w:rsidRPr="00551252">
                        <w:rPr>
                          <w:b/>
                          <w:sz w:val="50"/>
                          <w:szCs w:val="50"/>
                          <w:lang w:val="nl-NL"/>
                        </w:rPr>
                        <w:t xml:space="preserve">Nederlandse investeringen </w:t>
                      </w:r>
                      <w:r w:rsidR="00046807" w:rsidRPr="00551252">
                        <w:rPr>
                          <w:b/>
                          <w:sz w:val="50"/>
                          <w:szCs w:val="50"/>
                          <w:lang w:val="nl-NL"/>
                        </w:rPr>
                        <w:t xml:space="preserve">en misstanden </w:t>
                      </w:r>
                      <w:r w:rsidR="000A38F6" w:rsidRPr="00551252">
                        <w:rPr>
                          <w:b/>
                          <w:sz w:val="50"/>
                          <w:szCs w:val="50"/>
                          <w:lang w:val="nl-NL"/>
                        </w:rPr>
                        <w:t>bij de grootste kopermijn van Afrika</w:t>
                      </w:r>
                      <w:r w:rsidR="00046807" w:rsidRPr="00551252">
                        <w:rPr>
                          <w:b/>
                          <w:sz w:val="50"/>
                          <w:szCs w:val="50"/>
                          <w:lang w:val="nl-NL"/>
                        </w:rPr>
                        <w:t xml:space="preserve"> </w:t>
                      </w:r>
                    </w:p>
                    <w:p w14:paraId="68CF4259" w14:textId="091D531D" w:rsidR="00413C5E" w:rsidRPr="000D7390" w:rsidRDefault="00757FD7" w:rsidP="00413C5E">
                      <w:pPr>
                        <w:pStyle w:val="EGWTitlepageSubtitle"/>
                        <w:rPr>
                          <w:sz w:val="60"/>
                          <w:szCs w:val="60"/>
                          <w:lang w:val="nl-NL"/>
                        </w:rPr>
                      </w:pPr>
                      <w:r w:rsidRPr="00551252">
                        <w:rPr>
                          <w:b/>
                          <w:sz w:val="50"/>
                          <w:szCs w:val="50"/>
                          <w:lang w:val="nl-NL"/>
                        </w:rPr>
                        <w:br/>
                      </w:r>
                      <w:r w:rsidR="0070061F" w:rsidRPr="00551252">
                        <w:rPr>
                          <w:sz w:val="36"/>
                          <w:szCs w:val="36"/>
                          <w:lang w:val="nl-NL"/>
                        </w:rPr>
                        <w:t>Een praktijkonderzoek voor de Eerlijke Geldwijzer</w:t>
                      </w:r>
                    </w:p>
                  </w:txbxContent>
                </v:textbox>
                <w10:wrap type="square" anchorx="margin"/>
              </v:shape>
            </w:pict>
          </mc:Fallback>
        </mc:AlternateContent>
      </w:r>
      <w:r w:rsidR="001236AE" w:rsidRPr="00C42373">
        <w:rPr>
          <w:lang w:val="nl-NL"/>
        </w:rPr>
        <w:br w:type="page"/>
      </w:r>
    </w:p>
    <w:p w14:paraId="57426537" w14:textId="77777777" w:rsidR="00E614DC" w:rsidRDefault="00E614DC">
      <w:pPr>
        <w:spacing w:before="0" w:after="0"/>
        <w:rPr>
          <w:b/>
          <w:color w:val="61013E"/>
          <w:sz w:val="24"/>
          <w:szCs w:val="24"/>
          <w:lang w:val="nl-NL"/>
        </w:rPr>
      </w:pPr>
      <w:r>
        <w:rPr>
          <w:sz w:val="24"/>
          <w:szCs w:val="24"/>
          <w:lang w:val="nl-NL"/>
        </w:rPr>
        <w:br w:type="page"/>
      </w:r>
    </w:p>
    <w:p w14:paraId="2837D7F9" w14:textId="1806C864" w:rsidR="00A134E5" w:rsidRPr="00C42373" w:rsidRDefault="0070061F" w:rsidP="002C45EF">
      <w:pPr>
        <w:pStyle w:val="EGWHeadingColophon"/>
        <w:rPr>
          <w:sz w:val="24"/>
          <w:szCs w:val="24"/>
          <w:lang w:val="nl-NL"/>
        </w:rPr>
      </w:pPr>
      <w:r w:rsidRPr="00C42373">
        <w:rPr>
          <w:sz w:val="24"/>
          <w:szCs w:val="24"/>
          <w:lang w:val="nl-NL"/>
        </w:rPr>
        <w:lastRenderedPageBreak/>
        <w:t>Over de Eerlijke Geldwijzer</w:t>
      </w:r>
    </w:p>
    <w:p w14:paraId="01653531" w14:textId="7E4F3AB2" w:rsidR="00A134E5" w:rsidRPr="00C42373" w:rsidRDefault="0070061F" w:rsidP="00A134E5">
      <w:pPr>
        <w:rPr>
          <w:lang w:val="nl-NL"/>
        </w:rPr>
      </w:pPr>
      <w:r w:rsidRPr="00C42373">
        <w:rPr>
          <w:lang w:val="nl-NL"/>
        </w:rPr>
        <w:t xml:space="preserve">Dit rapport is samengesteld door de </w:t>
      </w:r>
      <w:r w:rsidR="00A134E5" w:rsidRPr="00C42373">
        <w:rPr>
          <w:lang w:val="nl-NL"/>
        </w:rPr>
        <w:t>Eerlijke Geldwijzer</w:t>
      </w:r>
      <w:r w:rsidR="00467C8D">
        <w:rPr>
          <w:lang w:val="nl-NL"/>
        </w:rPr>
        <w:t xml:space="preserve"> [EGW]</w:t>
      </w:r>
      <w:r w:rsidRPr="00C42373">
        <w:rPr>
          <w:lang w:val="nl-NL"/>
        </w:rPr>
        <w:t>. De Eerlijke Geldwijzer is een coalitie van de volgende organisaties</w:t>
      </w:r>
      <w:r w:rsidR="00A134E5" w:rsidRPr="00C42373">
        <w:rPr>
          <w:lang w:val="nl-NL"/>
        </w:rPr>
        <w:t xml:space="preserve">: Amnesty International, Milieudefensie, Oxfam Novib, PAX </w:t>
      </w:r>
      <w:r w:rsidRPr="00C42373">
        <w:rPr>
          <w:lang w:val="nl-NL"/>
        </w:rPr>
        <w:t>en</w:t>
      </w:r>
      <w:r w:rsidR="00A134E5" w:rsidRPr="00C42373">
        <w:rPr>
          <w:lang w:val="nl-NL"/>
        </w:rPr>
        <w:t xml:space="preserve"> World Animal Protection. </w:t>
      </w:r>
      <w:r w:rsidR="00347FEF" w:rsidRPr="00C42373">
        <w:rPr>
          <w:lang w:val="nl-NL"/>
        </w:rPr>
        <w:t xml:space="preserve">Het doel van de </w:t>
      </w:r>
      <w:r w:rsidR="00A134E5" w:rsidRPr="00C42373">
        <w:rPr>
          <w:lang w:val="nl-NL"/>
        </w:rPr>
        <w:t xml:space="preserve">Eerlijke Geldwijzer is </w:t>
      </w:r>
      <w:r w:rsidR="00347FEF" w:rsidRPr="00C42373">
        <w:rPr>
          <w:lang w:val="nl-NL"/>
        </w:rPr>
        <w:t>om financiële instellingen aan te moedigen te handelen in overeenstemming met de principes van maatschappelijk verantwoord ondernemen.</w:t>
      </w:r>
      <w:r w:rsidR="00A134E5" w:rsidRPr="00C42373">
        <w:rPr>
          <w:lang w:val="nl-NL"/>
        </w:rPr>
        <w:t xml:space="preserve"> </w:t>
      </w:r>
    </w:p>
    <w:p w14:paraId="22B64217" w14:textId="6BCB32E6" w:rsidR="00A134E5" w:rsidRPr="00C42373" w:rsidRDefault="00347FEF" w:rsidP="00A134E5">
      <w:pPr>
        <w:rPr>
          <w:lang w:val="nl-NL"/>
        </w:rPr>
      </w:pPr>
      <w:r w:rsidRPr="00C42373">
        <w:rPr>
          <w:lang w:val="nl-NL"/>
        </w:rPr>
        <w:t>De Eerlijke Geldwijzer in Nederland is onderdeel van</w:t>
      </w:r>
      <w:r w:rsidR="00A134E5" w:rsidRPr="00C42373">
        <w:rPr>
          <w:lang w:val="nl-NL"/>
        </w:rPr>
        <w:t xml:space="preserve"> Fair Finance International (FFI)</w:t>
      </w:r>
      <w:r w:rsidR="00BF633B" w:rsidRPr="00C42373">
        <w:rPr>
          <w:lang w:val="nl-NL"/>
        </w:rPr>
        <w:t>,</w:t>
      </w:r>
      <w:r w:rsidR="00A134E5" w:rsidRPr="00C42373">
        <w:rPr>
          <w:lang w:val="nl-NL"/>
        </w:rPr>
        <w:t xml:space="preserve"> </w:t>
      </w:r>
      <w:r w:rsidRPr="00C42373">
        <w:rPr>
          <w:lang w:val="nl-NL"/>
        </w:rPr>
        <w:t>een internation</w:t>
      </w:r>
      <w:r w:rsidR="0071414E" w:rsidRPr="00C42373">
        <w:rPr>
          <w:lang w:val="nl-NL"/>
        </w:rPr>
        <w:t>a</w:t>
      </w:r>
      <w:r w:rsidRPr="00C42373">
        <w:rPr>
          <w:lang w:val="nl-NL"/>
        </w:rPr>
        <w:t>al netw</w:t>
      </w:r>
      <w:r w:rsidR="0071414E" w:rsidRPr="00C42373">
        <w:rPr>
          <w:lang w:val="nl-NL"/>
        </w:rPr>
        <w:t>e</w:t>
      </w:r>
      <w:r w:rsidRPr="00C42373">
        <w:rPr>
          <w:lang w:val="nl-NL"/>
        </w:rPr>
        <w:t xml:space="preserve">rk van maatschappelijke organisaties met meer dan 150 partners en medestanders in 24 landen. FFI streeft ernaar de inzet van banken en andere financiële instellingen bij sociale, milieu- en mensenrechtennormen te versterken. </w:t>
      </w:r>
    </w:p>
    <w:p w14:paraId="4512230E" w14:textId="529A57DD" w:rsidR="005148A1" w:rsidRPr="00C42373" w:rsidRDefault="00347FEF" w:rsidP="002C45EF">
      <w:pPr>
        <w:pStyle w:val="EGWHeadingColophon"/>
        <w:rPr>
          <w:sz w:val="24"/>
          <w:szCs w:val="24"/>
          <w:lang w:val="nl-NL"/>
        </w:rPr>
      </w:pPr>
      <w:r w:rsidRPr="00C42373">
        <w:rPr>
          <w:sz w:val="24"/>
          <w:szCs w:val="24"/>
          <w:lang w:val="nl-NL"/>
        </w:rPr>
        <w:t>Over dit rapport</w:t>
      </w:r>
    </w:p>
    <w:p w14:paraId="63D7A5FD" w14:textId="071C0D13" w:rsidR="005148A1" w:rsidRPr="00C42373" w:rsidRDefault="00347FEF" w:rsidP="0035153E">
      <w:pPr>
        <w:rPr>
          <w:lang w:val="nl-NL"/>
        </w:rPr>
      </w:pPr>
      <w:r w:rsidRPr="00C42373">
        <w:rPr>
          <w:lang w:val="nl-NL"/>
        </w:rPr>
        <w:t xml:space="preserve">Dit rapport onderzoekt </w:t>
      </w:r>
      <w:r w:rsidR="00AF4764" w:rsidRPr="00C42373">
        <w:rPr>
          <w:lang w:val="nl-NL"/>
        </w:rPr>
        <w:t xml:space="preserve">i) </w:t>
      </w:r>
      <w:r w:rsidRPr="00C42373">
        <w:rPr>
          <w:lang w:val="nl-NL"/>
        </w:rPr>
        <w:t>de financiële links tussen Nederlandse financiële instellingen in</w:t>
      </w:r>
      <w:r w:rsidR="00AF4764" w:rsidRPr="00C42373">
        <w:rPr>
          <w:lang w:val="nl-NL"/>
        </w:rPr>
        <w:t xml:space="preserve"> Ivanhoe Mines en Zijin Mining Group,</w:t>
      </w:r>
      <w:r w:rsidRPr="00C42373">
        <w:rPr>
          <w:lang w:val="nl-NL"/>
        </w:rPr>
        <w:t xml:space="preserve"> de twee bedrijven achter het Kamoa-kopermijncomplex in de Democratische Republiek Congo</w:t>
      </w:r>
      <w:r w:rsidR="00AF4764" w:rsidRPr="00C42373">
        <w:rPr>
          <w:lang w:val="nl-NL"/>
        </w:rPr>
        <w:t>; en ii) het engagement van financiële instellingen met de bedrijven over schendingen van mensenrechten en schade aan het milieu.</w:t>
      </w:r>
    </w:p>
    <w:p w14:paraId="6307D198" w14:textId="4C20A508" w:rsidR="00A134E5" w:rsidRPr="00C42373" w:rsidRDefault="00AF4764" w:rsidP="00A134E5">
      <w:pPr>
        <w:pStyle w:val="EGWHeadingColophon"/>
        <w:rPr>
          <w:sz w:val="24"/>
          <w:szCs w:val="24"/>
          <w:lang w:val="nl-NL"/>
        </w:rPr>
      </w:pPr>
      <w:r w:rsidRPr="00C42373">
        <w:rPr>
          <w:sz w:val="24"/>
          <w:szCs w:val="24"/>
          <w:lang w:val="nl-NL"/>
        </w:rPr>
        <w:t>Auteurs</w:t>
      </w:r>
    </w:p>
    <w:p w14:paraId="7B0CF10B" w14:textId="3980AD7F" w:rsidR="00AF4764" w:rsidRPr="00C42373" w:rsidRDefault="00AF4764" w:rsidP="00776352">
      <w:pPr>
        <w:rPr>
          <w:lang w:val="nl-NL"/>
        </w:rPr>
      </w:pPr>
      <w:r w:rsidRPr="00C42373">
        <w:rPr>
          <w:lang w:val="nl-NL"/>
        </w:rPr>
        <w:t>Dit rapport is onderzocht en geschreven door Valerie Schreur, projectleider Eerlijke Geldwijzer bij Oxfam Novib, met ondersteuning van Debbie Schepers</w:t>
      </w:r>
      <w:r w:rsidR="00A740D6" w:rsidRPr="00C42373">
        <w:rPr>
          <w:lang w:val="nl-NL"/>
        </w:rPr>
        <w:t>, Ward Warmerdam en Juliette Laplane</w:t>
      </w:r>
      <w:r w:rsidR="004B005B" w:rsidRPr="00C42373">
        <w:rPr>
          <w:lang w:val="nl-NL"/>
        </w:rPr>
        <w:t xml:space="preserve"> </w:t>
      </w:r>
      <w:r w:rsidRPr="00C42373">
        <w:rPr>
          <w:lang w:val="nl-NL"/>
        </w:rPr>
        <w:t xml:space="preserve">van onderzoeksbureau Profundo. </w:t>
      </w:r>
    </w:p>
    <w:p w14:paraId="173D908C" w14:textId="7735A4CD" w:rsidR="00AF4764" w:rsidRPr="00C42373" w:rsidRDefault="00AF4764" w:rsidP="00776352">
      <w:pPr>
        <w:rPr>
          <w:lang w:val="nl-NL"/>
        </w:rPr>
      </w:pPr>
      <w:r w:rsidRPr="00C42373">
        <w:rPr>
          <w:lang w:val="nl-NL"/>
        </w:rPr>
        <w:t>De casusomschrijving</w:t>
      </w:r>
      <w:r w:rsidR="00471AD6" w:rsidRPr="00C42373">
        <w:rPr>
          <w:lang w:val="nl-NL"/>
        </w:rPr>
        <w:t xml:space="preserve"> </w:t>
      </w:r>
      <w:r w:rsidR="008E0D06" w:rsidRPr="00C42373">
        <w:rPr>
          <w:lang w:val="nl-NL"/>
        </w:rPr>
        <w:t xml:space="preserve">van de Kamoa-kopermijn </w:t>
      </w:r>
      <w:r w:rsidR="00471AD6" w:rsidRPr="00C42373">
        <w:rPr>
          <w:lang w:val="nl-NL"/>
        </w:rPr>
        <w:t xml:space="preserve">in hoofdstuk </w:t>
      </w:r>
      <w:r w:rsidR="007E7B31" w:rsidRPr="00C42373">
        <w:rPr>
          <w:lang w:val="nl-NL"/>
        </w:rPr>
        <w:t>1</w:t>
      </w:r>
      <w:r w:rsidRPr="00C42373">
        <w:rPr>
          <w:lang w:val="nl-NL"/>
        </w:rPr>
        <w:t xml:space="preserve"> is geschreven door Eva Demaré</w:t>
      </w:r>
      <w:r w:rsidR="00A740D6" w:rsidRPr="00C42373">
        <w:rPr>
          <w:lang w:val="nl-NL"/>
        </w:rPr>
        <w:t xml:space="preserve"> [11.11.11]</w:t>
      </w:r>
      <w:r w:rsidR="009F4799" w:rsidRPr="00C42373">
        <w:rPr>
          <w:lang w:val="nl-NL"/>
        </w:rPr>
        <w:t xml:space="preserve"> en </w:t>
      </w:r>
      <w:r w:rsidRPr="00C42373">
        <w:rPr>
          <w:lang w:val="nl-NL"/>
        </w:rPr>
        <w:t>Donat Kambola</w:t>
      </w:r>
      <w:r w:rsidR="00A740D6" w:rsidRPr="00C42373">
        <w:rPr>
          <w:lang w:val="nl-NL"/>
        </w:rPr>
        <w:t xml:space="preserve"> [IBGDH]</w:t>
      </w:r>
      <w:r w:rsidR="00471AD6" w:rsidRPr="00C42373">
        <w:rPr>
          <w:lang w:val="nl-NL"/>
        </w:rPr>
        <w:t xml:space="preserve">, </w:t>
      </w:r>
      <w:r w:rsidR="009F4799" w:rsidRPr="00C42373">
        <w:rPr>
          <w:lang w:val="nl-NL"/>
        </w:rPr>
        <w:t>met ondersteuning van Kees Kodde [F</w:t>
      </w:r>
      <w:r w:rsidR="008E0D06" w:rsidRPr="00C42373">
        <w:rPr>
          <w:lang w:val="nl-NL"/>
        </w:rPr>
        <w:t xml:space="preserve">FI] </w:t>
      </w:r>
      <w:r w:rsidR="00471AD6" w:rsidRPr="00C42373">
        <w:rPr>
          <w:lang w:val="nl-NL"/>
        </w:rPr>
        <w:t>en vertaald door Valerie Schreur</w:t>
      </w:r>
      <w:r w:rsidR="00467C8D">
        <w:rPr>
          <w:lang w:val="nl-NL"/>
        </w:rPr>
        <w:t xml:space="preserve"> [EGW]</w:t>
      </w:r>
      <w:r w:rsidR="00471AD6" w:rsidRPr="00C42373">
        <w:rPr>
          <w:lang w:val="nl-NL"/>
        </w:rPr>
        <w:t>.</w:t>
      </w:r>
    </w:p>
    <w:p w14:paraId="3E00A9A2" w14:textId="0E113E29" w:rsidR="00F45D03" w:rsidRPr="00C42373" w:rsidRDefault="004B005B" w:rsidP="00776352">
      <w:pPr>
        <w:rPr>
          <w:lang w:val="nl-NL"/>
        </w:rPr>
      </w:pPr>
      <w:r w:rsidRPr="00C42373">
        <w:rPr>
          <w:lang w:val="nl-NL"/>
        </w:rPr>
        <w:t>Correcte citatie van dit rapport</w:t>
      </w:r>
      <w:r w:rsidR="00F45D03" w:rsidRPr="00C42373">
        <w:rPr>
          <w:lang w:val="nl-NL"/>
        </w:rPr>
        <w:t xml:space="preserve">: </w:t>
      </w:r>
      <w:r w:rsidRPr="00C42373">
        <w:rPr>
          <w:lang w:val="nl-NL"/>
        </w:rPr>
        <w:t>Schreur, V.</w:t>
      </w:r>
      <w:r w:rsidR="00471AD6" w:rsidRPr="00C42373">
        <w:rPr>
          <w:lang w:val="nl-NL"/>
        </w:rPr>
        <w:t>, Eva Demaré en Donat Kambola</w:t>
      </w:r>
      <w:r w:rsidR="00F45D03" w:rsidRPr="00C42373">
        <w:rPr>
          <w:lang w:val="nl-NL"/>
        </w:rPr>
        <w:t xml:space="preserve"> (</w:t>
      </w:r>
      <w:r w:rsidRPr="00C42373">
        <w:rPr>
          <w:lang w:val="nl-NL"/>
        </w:rPr>
        <w:t>2025</w:t>
      </w:r>
      <w:r w:rsidR="00D30DF3" w:rsidRPr="00C42373">
        <w:rPr>
          <w:lang w:val="nl-NL"/>
        </w:rPr>
        <w:t xml:space="preserve">, </w:t>
      </w:r>
      <w:r w:rsidR="0066186F" w:rsidRPr="00C42373">
        <w:rPr>
          <w:lang w:val="nl-NL"/>
        </w:rPr>
        <w:t>n</w:t>
      </w:r>
      <w:r w:rsidRPr="00C42373">
        <w:rPr>
          <w:lang w:val="nl-NL"/>
        </w:rPr>
        <w:t>ovember</w:t>
      </w:r>
      <w:r w:rsidR="00F45D03" w:rsidRPr="00C42373">
        <w:rPr>
          <w:lang w:val="nl-NL"/>
        </w:rPr>
        <w:t>),</w:t>
      </w:r>
      <w:r w:rsidRPr="00C42373">
        <w:rPr>
          <w:lang w:val="nl-NL"/>
        </w:rPr>
        <w:t xml:space="preserve"> </w:t>
      </w:r>
      <w:r w:rsidR="000D7390" w:rsidRPr="00C42373">
        <w:rPr>
          <w:i/>
          <w:iCs/>
          <w:lang w:val="nl-NL"/>
        </w:rPr>
        <w:t>De hoge prijs van koper</w:t>
      </w:r>
      <w:r w:rsidR="00C54A55">
        <w:rPr>
          <w:i/>
          <w:iCs/>
          <w:lang w:val="nl-NL"/>
        </w:rPr>
        <w:t xml:space="preserve"> uit Congo</w:t>
      </w:r>
      <w:r w:rsidR="000D7390" w:rsidRPr="00C42373">
        <w:rPr>
          <w:i/>
          <w:iCs/>
          <w:lang w:val="nl-NL"/>
        </w:rPr>
        <w:t xml:space="preserve">: Nederlandse </w:t>
      </w:r>
      <w:r w:rsidR="00467C8D">
        <w:rPr>
          <w:i/>
          <w:iCs/>
          <w:lang w:val="nl-NL"/>
        </w:rPr>
        <w:t>investeringen</w:t>
      </w:r>
      <w:r w:rsidR="000D7390" w:rsidRPr="00C42373">
        <w:rPr>
          <w:i/>
          <w:iCs/>
          <w:lang w:val="nl-NL"/>
        </w:rPr>
        <w:t xml:space="preserve"> en </w:t>
      </w:r>
      <w:r w:rsidR="00046807">
        <w:rPr>
          <w:i/>
          <w:iCs/>
          <w:lang w:val="nl-NL"/>
        </w:rPr>
        <w:t xml:space="preserve">misstanden </w:t>
      </w:r>
      <w:r w:rsidR="00C961B8">
        <w:rPr>
          <w:i/>
          <w:iCs/>
          <w:lang w:val="nl-NL"/>
        </w:rPr>
        <w:t xml:space="preserve">bij de grootste kopermijn van </w:t>
      </w:r>
      <w:r w:rsidR="00A46A71">
        <w:rPr>
          <w:i/>
          <w:iCs/>
          <w:lang w:val="nl-NL"/>
        </w:rPr>
        <w:t>Afrika</w:t>
      </w:r>
      <w:r w:rsidR="0066186F" w:rsidRPr="00C42373">
        <w:rPr>
          <w:lang w:val="nl-NL"/>
        </w:rPr>
        <w:t xml:space="preserve">. </w:t>
      </w:r>
      <w:r w:rsidR="000D7390" w:rsidRPr="00C42373">
        <w:rPr>
          <w:lang w:val="nl-NL"/>
        </w:rPr>
        <w:t>Den Haag</w:t>
      </w:r>
      <w:r w:rsidR="00F45D03" w:rsidRPr="00C42373">
        <w:rPr>
          <w:lang w:val="nl-NL"/>
        </w:rPr>
        <w:t xml:space="preserve">, </w:t>
      </w:r>
      <w:r w:rsidR="000D7390" w:rsidRPr="00C42373">
        <w:rPr>
          <w:lang w:val="nl-NL"/>
        </w:rPr>
        <w:t>Nederland</w:t>
      </w:r>
      <w:r w:rsidR="0066186F" w:rsidRPr="00C42373">
        <w:rPr>
          <w:lang w:val="nl-NL"/>
        </w:rPr>
        <w:t xml:space="preserve">: </w:t>
      </w:r>
      <w:r w:rsidR="00467C8D">
        <w:rPr>
          <w:lang w:val="nl-NL"/>
        </w:rPr>
        <w:t>D</w:t>
      </w:r>
      <w:r w:rsidR="0066186F" w:rsidRPr="00C42373">
        <w:rPr>
          <w:lang w:val="nl-NL"/>
        </w:rPr>
        <w:t>e Eerlijke Geldwijzer.</w:t>
      </w:r>
    </w:p>
    <w:p w14:paraId="072B7A5C" w14:textId="5898FA5F" w:rsidR="00A740D6" w:rsidRPr="00467C8D" w:rsidRDefault="00551252" w:rsidP="00A740D6">
      <w:pPr>
        <w:pStyle w:val="EGWHeadingColophon"/>
        <w:rPr>
          <w:sz w:val="20"/>
          <w:szCs w:val="20"/>
          <w:lang w:val="nl-NL"/>
        </w:rPr>
      </w:pPr>
      <w:r>
        <w:rPr>
          <w:noProof/>
          <w:sz w:val="20"/>
          <w:szCs w:val="20"/>
          <w:lang w:val="nl-NL"/>
        </w:rPr>
        <w:br/>
      </w:r>
      <w:r w:rsidR="00A740D6" w:rsidRPr="00467C8D">
        <w:rPr>
          <w:noProof/>
          <w:sz w:val="20"/>
          <w:szCs w:val="20"/>
          <w:lang w:val="nl-NL"/>
        </w:rPr>
        <w:t>Over</w:t>
      </w:r>
      <w:r w:rsidR="00A740D6" w:rsidRPr="00467C8D">
        <w:rPr>
          <w:sz w:val="20"/>
          <w:szCs w:val="20"/>
          <w:lang w:val="nl-NL"/>
        </w:rPr>
        <w:t xml:space="preserve"> 11.11.11</w:t>
      </w:r>
      <w:r w:rsidR="00E508B8" w:rsidRPr="00467C8D">
        <w:rPr>
          <w:sz w:val="20"/>
          <w:szCs w:val="20"/>
          <w:lang w:val="nl-NL"/>
        </w:rPr>
        <w:t xml:space="preserve"> en IBGDH</w:t>
      </w:r>
    </w:p>
    <w:p w14:paraId="33E31CD5" w14:textId="06211AA4" w:rsidR="00A740D6" w:rsidRPr="00467C8D" w:rsidRDefault="00A740D6" w:rsidP="00F45D03">
      <w:pPr>
        <w:rPr>
          <w:sz w:val="20"/>
          <w:szCs w:val="20"/>
          <w:lang w:val="nl-NL"/>
        </w:rPr>
      </w:pPr>
      <w:r w:rsidRPr="00467C8D">
        <w:rPr>
          <w:sz w:val="20"/>
          <w:szCs w:val="20"/>
          <w:lang w:val="nl-NL"/>
        </w:rPr>
        <w:t>11.11.11 is de Vlaamse koepelorganisatie voor internationale solidariteit. Ze bundelt de krachten van Belgische organisaties en ngo's, vrijwilligers en partners wereldwijd die zich inzetten voor wereldwijde rechtvaardigheid en duurzame ontwikkeling.</w:t>
      </w:r>
      <w:r w:rsidR="00E508B8" w:rsidRPr="00467C8D">
        <w:rPr>
          <w:sz w:val="20"/>
          <w:szCs w:val="20"/>
          <w:lang w:val="nl-NL"/>
        </w:rPr>
        <w:t xml:space="preserve"> Voor deze </w:t>
      </w:r>
      <w:r w:rsidR="00471AD6" w:rsidRPr="00467C8D">
        <w:rPr>
          <w:sz w:val="20"/>
          <w:szCs w:val="20"/>
          <w:lang w:val="nl-NL"/>
        </w:rPr>
        <w:t>casusomschrijving</w:t>
      </w:r>
      <w:r w:rsidR="00E508B8" w:rsidRPr="00467C8D">
        <w:rPr>
          <w:sz w:val="20"/>
          <w:szCs w:val="20"/>
          <w:lang w:val="nl-NL"/>
        </w:rPr>
        <w:t xml:space="preserve"> heeft 11.11.11 samengewerkt met </w:t>
      </w:r>
      <w:r w:rsidR="0071414E" w:rsidRPr="00467C8D">
        <w:rPr>
          <w:sz w:val="20"/>
          <w:szCs w:val="20"/>
          <w:lang w:val="nl-NL"/>
        </w:rPr>
        <w:t xml:space="preserve">ngo </w:t>
      </w:r>
      <w:r w:rsidR="00E508B8" w:rsidRPr="00467C8D">
        <w:rPr>
          <w:sz w:val="20"/>
          <w:szCs w:val="20"/>
          <w:lang w:val="nl-NL"/>
        </w:rPr>
        <w:t>Initiative Pour la Bonne Gouvernance et les Droits Humains [IBGDH]</w:t>
      </w:r>
      <w:r w:rsidR="0071414E" w:rsidRPr="00467C8D">
        <w:rPr>
          <w:sz w:val="20"/>
          <w:szCs w:val="20"/>
          <w:lang w:val="nl-NL"/>
        </w:rPr>
        <w:t xml:space="preserve">, </w:t>
      </w:r>
      <w:r w:rsidR="00471AD6" w:rsidRPr="00467C8D">
        <w:rPr>
          <w:sz w:val="20"/>
          <w:szCs w:val="20"/>
          <w:lang w:val="nl-NL"/>
        </w:rPr>
        <w:t>gevestigd</w:t>
      </w:r>
      <w:r w:rsidR="00E508B8" w:rsidRPr="00467C8D">
        <w:rPr>
          <w:sz w:val="20"/>
          <w:szCs w:val="20"/>
          <w:lang w:val="nl-NL"/>
        </w:rPr>
        <w:t xml:space="preserve"> </w:t>
      </w:r>
      <w:r w:rsidR="00471AD6" w:rsidRPr="00467C8D">
        <w:rPr>
          <w:sz w:val="20"/>
          <w:szCs w:val="20"/>
          <w:lang w:val="nl-NL"/>
        </w:rPr>
        <w:t>in het zuiden van de Democratische Republiek Congo</w:t>
      </w:r>
      <w:r w:rsidR="0071414E" w:rsidRPr="00467C8D">
        <w:rPr>
          <w:sz w:val="20"/>
          <w:szCs w:val="20"/>
          <w:lang w:val="nl-NL"/>
        </w:rPr>
        <w:t>. Het doel van IBGDH is</w:t>
      </w:r>
      <w:r w:rsidR="00E508B8" w:rsidRPr="00467C8D">
        <w:rPr>
          <w:sz w:val="20"/>
          <w:szCs w:val="20"/>
          <w:lang w:val="nl-NL"/>
        </w:rPr>
        <w:t xml:space="preserve"> bevordering van goed bestuur </w:t>
      </w:r>
      <w:r w:rsidR="0071414E" w:rsidRPr="00467C8D">
        <w:rPr>
          <w:sz w:val="20"/>
          <w:szCs w:val="20"/>
          <w:lang w:val="nl-NL"/>
        </w:rPr>
        <w:t xml:space="preserve">en menswaardig beheer van </w:t>
      </w:r>
      <w:r w:rsidR="002455D1" w:rsidRPr="00467C8D">
        <w:rPr>
          <w:sz w:val="20"/>
          <w:szCs w:val="20"/>
          <w:lang w:val="nl-NL"/>
        </w:rPr>
        <w:t xml:space="preserve">de ontginning </w:t>
      </w:r>
      <w:r w:rsidR="0071414E" w:rsidRPr="00467C8D">
        <w:rPr>
          <w:sz w:val="20"/>
          <w:szCs w:val="20"/>
          <w:lang w:val="nl-NL"/>
        </w:rPr>
        <w:t xml:space="preserve">van </w:t>
      </w:r>
      <w:r w:rsidR="00E508B8" w:rsidRPr="00467C8D">
        <w:rPr>
          <w:sz w:val="20"/>
          <w:szCs w:val="20"/>
          <w:lang w:val="nl-NL"/>
        </w:rPr>
        <w:t>natuurlijke hulpbronnen</w:t>
      </w:r>
      <w:r w:rsidR="0071414E" w:rsidRPr="00467C8D">
        <w:rPr>
          <w:sz w:val="20"/>
          <w:szCs w:val="20"/>
          <w:lang w:val="nl-NL"/>
        </w:rPr>
        <w:t>.</w:t>
      </w:r>
    </w:p>
    <w:p w14:paraId="3A8E616A" w14:textId="15267CD4" w:rsidR="00F53249" w:rsidRPr="00467C8D" w:rsidRDefault="000D7390" w:rsidP="002C45EF">
      <w:pPr>
        <w:pStyle w:val="EGWHeadingColophon"/>
        <w:rPr>
          <w:sz w:val="20"/>
          <w:szCs w:val="20"/>
          <w:lang w:val="nl-NL"/>
        </w:rPr>
      </w:pPr>
      <w:bookmarkStart w:id="2" w:name="_Hlk215568823"/>
      <w:r w:rsidRPr="00467C8D">
        <w:rPr>
          <w:noProof/>
          <w:sz w:val="20"/>
          <w:szCs w:val="20"/>
          <w:lang w:val="nl-NL"/>
        </w:rPr>
        <w:t>Over</w:t>
      </w:r>
      <w:r w:rsidR="00F53249" w:rsidRPr="00467C8D">
        <w:rPr>
          <w:sz w:val="20"/>
          <w:szCs w:val="20"/>
          <w:lang w:val="nl-NL"/>
        </w:rPr>
        <w:t xml:space="preserve"> Profundo</w:t>
      </w:r>
    </w:p>
    <w:bookmarkEnd w:id="2"/>
    <w:p w14:paraId="082D59A8" w14:textId="77777777" w:rsidR="00190254" w:rsidRPr="00467C8D" w:rsidRDefault="00190254" w:rsidP="002C45EF">
      <w:pPr>
        <w:pStyle w:val="EGWHeadingColophon"/>
        <w:rPr>
          <w:b w:val="0"/>
          <w:noProof/>
          <w:color w:val="auto"/>
          <w:sz w:val="20"/>
          <w:szCs w:val="20"/>
          <w:lang w:val="nl-NL"/>
        </w:rPr>
      </w:pPr>
      <w:r w:rsidRPr="00467C8D">
        <w:rPr>
          <w:b w:val="0"/>
          <w:noProof/>
          <w:color w:val="auto"/>
          <w:sz w:val="20"/>
          <w:szCs w:val="20"/>
          <w:lang w:val="nl-NL"/>
        </w:rPr>
        <w:t>Met diepgaand en op feiten gebaseerd onderzoek en advies wil Profundo een praktische bijdrage leveren aan een duurzame wereld en sociale rechtvaardigheid. We analyseren internationale grondstofketens, de financiële sector, relevante beleidsontwikkelingen en de impact van bedrijven en financiers op alle duurzaamheidsaspecten. Meer informatie over Profundo is beschikbaar op </w:t>
      </w:r>
      <w:r>
        <w:fldChar w:fldCharType="begin"/>
      </w:r>
      <w:r w:rsidRPr="00691CED">
        <w:rPr>
          <w:lang w:val="nl-NL"/>
        </w:rPr>
        <w:instrText>HYPERLINK "https://eur01.safelinks.protection.outlook.com/?url=http%3A%2F%2Fwww.profundo.nl%2F&amp;data=05%7C02%7Cvalerie.schreur%40oxfamnovib.nl%7C84b1c5c016d64679ea0808de33492eb6%7Cc42c6655bda0417590bab6e48cacd561%7C0%7C0%7C639004586829355679%7CUnknown%7CTWFpbGZsb3d8eyJFbXB0eU1hcGkiOnRydWUsIlYiOiIwLjAuMDAwMCIsIlAiOiJXaW4zMiIsIkFOIjoiTWFpbCIsIldUIjoyfQ%3D%3D%7C0%7C%7C%7C&amp;sdata=cl9SmAM3qQ1xs6bFycLpr2ro1w6dQBLSpeulxBv7bFc%3D&amp;reserved=0" \o "Original URL: http://www.profundo.nl/. Click or tap if you trust this link."</w:instrText>
      </w:r>
      <w:r>
        <w:fldChar w:fldCharType="separate"/>
      </w:r>
      <w:r w:rsidRPr="00467C8D">
        <w:rPr>
          <w:rStyle w:val="Hyperlink"/>
          <w:b w:val="0"/>
          <w:noProof/>
          <w:sz w:val="20"/>
          <w:szCs w:val="20"/>
          <w:lang w:val="nl-NL"/>
        </w:rPr>
        <w:t>www.profundo.nl</w:t>
      </w:r>
      <w:r>
        <w:fldChar w:fldCharType="end"/>
      </w:r>
    </w:p>
    <w:p w14:paraId="3085E9BC" w14:textId="12CE1CA3" w:rsidR="005148A1" w:rsidRPr="00467C8D" w:rsidRDefault="005148A1" w:rsidP="002C45EF">
      <w:pPr>
        <w:pStyle w:val="EGWHeadingColophon"/>
        <w:rPr>
          <w:sz w:val="20"/>
          <w:szCs w:val="20"/>
          <w:lang w:val="nl-NL"/>
        </w:rPr>
      </w:pPr>
      <w:r w:rsidRPr="00467C8D">
        <w:rPr>
          <w:sz w:val="20"/>
          <w:szCs w:val="20"/>
          <w:lang w:val="nl-NL"/>
        </w:rPr>
        <w:t>Disclaimer</w:t>
      </w:r>
    </w:p>
    <w:p w14:paraId="5CEC678D" w14:textId="17321141" w:rsidR="00C731BA" w:rsidRPr="00467C8D" w:rsidRDefault="00DC46F6" w:rsidP="00BA4E58">
      <w:pPr>
        <w:rPr>
          <w:sz w:val="20"/>
          <w:szCs w:val="20"/>
          <w:lang w:val="nl-NL"/>
        </w:rPr>
      </w:pPr>
      <w:r w:rsidRPr="00467C8D">
        <w:rPr>
          <w:sz w:val="20"/>
          <w:szCs w:val="20"/>
          <w:lang w:val="nl-NL"/>
        </w:rPr>
        <w:t>De onderzoekers en Profundo betrachten de grootst mogelijke zorgvuldigheid bij het verzamelen van informatie en het opstellen van publicaties, maar kunnen niet garanderen dat dit rapport volledig is. De onderzoekers en Profundo aanvaarden geen verantwoordelijkheid voor fouten in de gebruikte bronnen, noch voor wijzigingen na de publicatiedatum. Het rapport is bedoeld ter informatie en mag niet worden opgevat als een goedkeuring</w:t>
      </w:r>
      <w:r w:rsidR="00E508B8" w:rsidRPr="00467C8D">
        <w:rPr>
          <w:sz w:val="20"/>
          <w:szCs w:val="20"/>
          <w:lang w:val="nl-NL"/>
        </w:rPr>
        <w:t xml:space="preserve"> </w:t>
      </w:r>
      <w:r w:rsidRPr="00467C8D">
        <w:rPr>
          <w:sz w:val="20"/>
          <w:szCs w:val="20"/>
          <w:lang w:val="nl-NL"/>
        </w:rPr>
        <w:t xml:space="preserve">of garantie van welke aard dan ook. </w:t>
      </w:r>
      <w:r w:rsidR="00467C8D" w:rsidRPr="00467C8D">
        <w:rPr>
          <w:sz w:val="20"/>
          <w:szCs w:val="20"/>
          <w:lang w:val="nl-NL"/>
        </w:rPr>
        <w:t xml:space="preserve">De onderzoekers en </w:t>
      </w:r>
      <w:r w:rsidRPr="00467C8D">
        <w:rPr>
          <w:sz w:val="20"/>
          <w:szCs w:val="20"/>
          <w:lang w:val="nl-NL"/>
        </w:rPr>
        <w:t>Profundo aanvaardt geen enkele aansprakelijkheid voor schade die voortvloeit uit het gebruik van deze publicatie.</w:t>
      </w:r>
      <w:r w:rsidR="00C731BA" w:rsidRPr="00467C8D">
        <w:rPr>
          <w:sz w:val="20"/>
          <w:szCs w:val="20"/>
          <w:lang w:val="nl-NL"/>
        </w:rPr>
        <w:br w:type="page"/>
      </w:r>
    </w:p>
    <w:p w14:paraId="1B7FC886" w14:textId="77777777" w:rsidR="00993B96" w:rsidRPr="00256BA5" w:rsidRDefault="00993B96" w:rsidP="00993B96">
      <w:pPr>
        <w:pStyle w:val="EGWHeading1"/>
        <w:rPr>
          <w:sz w:val="28"/>
          <w:szCs w:val="28"/>
          <w:lang w:val="nl-NL"/>
        </w:rPr>
      </w:pPr>
      <w:r w:rsidRPr="00256BA5">
        <w:rPr>
          <w:sz w:val="28"/>
          <w:szCs w:val="28"/>
          <w:lang w:val="nl-NL"/>
        </w:rPr>
        <w:lastRenderedPageBreak/>
        <w:t>Inhoudsopgave</w:t>
      </w:r>
    </w:p>
    <w:p w14:paraId="3C6ECA80" w14:textId="2D1354E7" w:rsidR="00993B96" w:rsidRPr="00256BA5" w:rsidRDefault="00993B96" w:rsidP="00993B96">
      <w:pPr>
        <w:rPr>
          <w:b/>
          <w:bCs/>
          <w:lang w:val="nl-NL"/>
        </w:rPr>
      </w:pPr>
      <w:r w:rsidRPr="00256BA5">
        <w:rPr>
          <w:b/>
          <w:bCs/>
          <w:lang w:val="nl-NL"/>
        </w:rPr>
        <w:t>Overzicht rapport</w:t>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002026B4" w:rsidRPr="00256BA5">
        <w:rPr>
          <w:b/>
          <w:bCs/>
          <w:lang w:val="nl-NL"/>
        </w:rPr>
        <w:tab/>
      </w:r>
      <w:r w:rsidR="001D6EBF" w:rsidRPr="00256BA5">
        <w:rPr>
          <w:b/>
          <w:bCs/>
          <w:lang w:val="nl-NL"/>
        </w:rPr>
        <w:tab/>
      </w:r>
      <w:r w:rsidRPr="00256BA5">
        <w:rPr>
          <w:b/>
          <w:bCs/>
          <w:lang w:val="nl-NL"/>
        </w:rPr>
        <w:t>1</w:t>
      </w:r>
    </w:p>
    <w:p w14:paraId="5EF4461A" w14:textId="59ACDF5C" w:rsidR="00993B96" w:rsidRPr="00256BA5" w:rsidRDefault="00487928" w:rsidP="00993B96">
      <w:pPr>
        <w:rPr>
          <w:b/>
          <w:bCs/>
          <w:lang w:val="nl-NL"/>
        </w:rPr>
      </w:pPr>
      <w:r w:rsidRPr="00256BA5">
        <w:rPr>
          <w:b/>
          <w:bCs/>
          <w:lang w:val="nl-NL"/>
        </w:rPr>
        <w:t>Hoofdstuk 1: Misstanden bij de Kamoa-kopermijn</w:t>
      </w:r>
      <w:r w:rsidR="002026B4" w:rsidRPr="00256BA5">
        <w:rPr>
          <w:b/>
          <w:bCs/>
          <w:lang w:val="nl-NL"/>
        </w:rPr>
        <w:tab/>
      </w:r>
      <w:r w:rsidR="002026B4" w:rsidRPr="00256BA5">
        <w:rPr>
          <w:b/>
          <w:bCs/>
          <w:lang w:val="nl-NL"/>
        </w:rPr>
        <w:tab/>
      </w:r>
      <w:r w:rsidR="002026B4" w:rsidRPr="00256BA5">
        <w:rPr>
          <w:b/>
          <w:bCs/>
          <w:lang w:val="nl-NL"/>
        </w:rPr>
        <w:tab/>
      </w:r>
      <w:r w:rsidR="002026B4" w:rsidRPr="00256BA5">
        <w:rPr>
          <w:b/>
          <w:bCs/>
          <w:lang w:val="nl-NL"/>
        </w:rPr>
        <w:tab/>
      </w:r>
      <w:r w:rsidR="002026B4" w:rsidRPr="00256BA5">
        <w:rPr>
          <w:b/>
          <w:bCs/>
          <w:lang w:val="nl-NL"/>
        </w:rPr>
        <w:tab/>
      </w:r>
      <w:r w:rsidR="001D6EBF" w:rsidRPr="00256BA5">
        <w:rPr>
          <w:b/>
          <w:bCs/>
          <w:lang w:val="nl-NL"/>
        </w:rPr>
        <w:tab/>
      </w:r>
      <w:r w:rsidR="002026B4" w:rsidRPr="00256BA5">
        <w:rPr>
          <w:b/>
          <w:bCs/>
          <w:lang w:val="nl-NL"/>
        </w:rPr>
        <w:t>2</w:t>
      </w:r>
    </w:p>
    <w:p w14:paraId="29D26031" w14:textId="6758123A" w:rsidR="003B785E" w:rsidRDefault="002026B4" w:rsidP="00256BA5">
      <w:pPr>
        <w:ind w:left="720"/>
        <w:rPr>
          <w:lang w:val="nl-NL"/>
        </w:rPr>
      </w:pPr>
      <w:r>
        <w:rPr>
          <w:lang w:val="nl-NL"/>
        </w:rPr>
        <w:t>1.1</w:t>
      </w:r>
      <w:r>
        <w:rPr>
          <w:lang w:val="nl-NL"/>
        </w:rPr>
        <w:tab/>
        <w:t>Introductie</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sidR="001D6EBF">
        <w:rPr>
          <w:lang w:val="nl-NL"/>
        </w:rPr>
        <w:tab/>
      </w:r>
      <w:r>
        <w:rPr>
          <w:lang w:val="nl-NL"/>
        </w:rPr>
        <w:t>2</w:t>
      </w:r>
      <w:r w:rsidR="00256BA5">
        <w:rPr>
          <w:lang w:val="nl-NL"/>
        </w:rPr>
        <w:br/>
      </w:r>
      <w:r>
        <w:rPr>
          <w:lang w:val="nl-NL"/>
        </w:rPr>
        <w:t xml:space="preserve">1.2 </w:t>
      </w:r>
      <w:r>
        <w:rPr>
          <w:lang w:val="nl-NL"/>
        </w:rPr>
        <w:tab/>
        <w:t>Milieu- en mensenrechtenkwesties rond de mijn</w:t>
      </w:r>
      <w:r>
        <w:rPr>
          <w:lang w:val="nl-NL"/>
        </w:rPr>
        <w:tab/>
      </w:r>
      <w:r>
        <w:rPr>
          <w:lang w:val="nl-NL"/>
        </w:rPr>
        <w:tab/>
      </w:r>
      <w:r>
        <w:rPr>
          <w:lang w:val="nl-NL"/>
        </w:rPr>
        <w:tab/>
      </w:r>
      <w:r w:rsidR="001D6EBF">
        <w:rPr>
          <w:lang w:val="nl-NL"/>
        </w:rPr>
        <w:tab/>
      </w:r>
      <w:r>
        <w:rPr>
          <w:lang w:val="nl-NL"/>
        </w:rPr>
        <w:t>2</w:t>
      </w:r>
      <w:r w:rsidR="00256BA5">
        <w:rPr>
          <w:lang w:val="nl-NL"/>
        </w:rPr>
        <w:br/>
      </w:r>
      <w:r>
        <w:rPr>
          <w:lang w:val="nl-NL"/>
        </w:rPr>
        <w:t>1.2.1</w:t>
      </w:r>
      <w:r>
        <w:rPr>
          <w:lang w:val="nl-NL"/>
        </w:rPr>
        <w:tab/>
        <w:t>Recht op participatie en informatie</w:t>
      </w:r>
      <w:r>
        <w:rPr>
          <w:lang w:val="nl-NL"/>
        </w:rPr>
        <w:tab/>
      </w:r>
      <w:r>
        <w:rPr>
          <w:lang w:val="nl-NL"/>
        </w:rPr>
        <w:tab/>
      </w:r>
      <w:r>
        <w:rPr>
          <w:lang w:val="nl-NL"/>
        </w:rPr>
        <w:tab/>
      </w:r>
      <w:r>
        <w:rPr>
          <w:lang w:val="nl-NL"/>
        </w:rPr>
        <w:tab/>
      </w:r>
      <w:r>
        <w:rPr>
          <w:lang w:val="nl-NL"/>
        </w:rPr>
        <w:tab/>
      </w:r>
      <w:r w:rsidR="001D6EBF">
        <w:rPr>
          <w:lang w:val="nl-NL"/>
        </w:rPr>
        <w:tab/>
      </w:r>
      <w:r>
        <w:rPr>
          <w:lang w:val="nl-NL"/>
        </w:rPr>
        <w:t>2</w:t>
      </w:r>
      <w:r w:rsidR="00256BA5">
        <w:rPr>
          <w:lang w:val="nl-NL"/>
        </w:rPr>
        <w:br/>
      </w:r>
      <w:r>
        <w:rPr>
          <w:lang w:val="nl-NL"/>
        </w:rPr>
        <w:t>1.2.2</w:t>
      </w:r>
      <w:r>
        <w:rPr>
          <w:lang w:val="nl-NL"/>
        </w:rPr>
        <w:tab/>
        <w:t>Toegang tot schoon drinkwater</w:t>
      </w:r>
      <w:r>
        <w:rPr>
          <w:lang w:val="nl-NL"/>
        </w:rPr>
        <w:tab/>
      </w:r>
      <w:r>
        <w:rPr>
          <w:lang w:val="nl-NL"/>
        </w:rPr>
        <w:tab/>
      </w:r>
      <w:r>
        <w:rPr>
          <w:lang w:val="nl-NL"/>
        </w:rPr>
        <w:tab/>
      </w:r>
      <w:r>
        <w:rPr>
          <w:lang w:val="nl-NL"/>
        </w:rPr>
        <w:tab/>
      </w:r>
      <w:r>
        <w:rPr>
          <w:lang w:val="nl-NL"/>
        </w:rPr>
        <w:tab/>
      </w:r>
      <w:r w:rsidR="001D6EBF">
        <w:rPr>
          <w:lang w:val="nl-NL"/>
        </w:rPr>
        <w:tab/>
      </w:r>
      <w:r>
        <w:rPr>
          <w:lang w:val="nl-NL"/>
        </w:rPr>
        <w:t>3</w:t>
      </w:r>
      <w:r w:rsidR="00256BA5">
        <w:rPr>
          <w:lang w:val="nl-NL"/>
        </w:rPr>
        <w:br/>
      </w:r>
      <w:r>
        <w:rPr>
          <w:lang w:val="nl-NL"/>
        </w:rPr>
        <w:t>1.2.3</w:t>
      </w:r>
      <w:r>
        <w:rPr>
          <w:lang w:val="nl-NL"/>
        </w:rPr>
        <w:tab/>
        <w:t>Verplaatsing van lokale bewoners en compensatie</w:t>
      </w:r>
      <w:r>
        <w:rPr>
          <w:lang w:val="nl-NL"/>
        </w:rPr>
        <w:tab/>
      </w:r>
      <w:r>
        <w:rPr>
          <w:lang w:val="nl-NL"/>
        </w:rPr>
        <w:tab/>
      </w:r>
      <w:r>
        <w:rPr>
          <w:lang w:val="nl-NL"/>
        </w:rPr>
        <w:tab/>
      </w:r>
      <w:r w:rsidR="001D6EBF">
        <w:rPr>
          <w:lang w:val="nl-NL"/>
        </w:rPr>
        <w:tab/>
      </w:r>
      <w:r>
        <w:rPr>
          <w:lang w:val="nl-NL"/>
        </w:rPr>
        <w:t>3</w:t>
      </w:r>
      <w:r w:rsidR="00256BA5">
        <w:rPr>
          <w:lang w:val="nl-NL"/>
        </w:rPr>
        <w:br/>
      </w:r>
      <w:r w:rsidR="003B785E">
        <w:rPr>
          <w:lang w:val="nl-NL"/>
        </w:rPr>
        <w:t>1.2.4</w:t>
      </w:r>
      <w:r w:rsidR="003B785E">
        <w:rPr>
          <w:lang w:val="nl-NL"/>
        </w:rPr>
        <w:tab/>
        <w:t>Juridische stappen tegen vreedzame activisten</w:t>
      </w:r>
      <w:r w:rsidR="003B785E">
        <w:rPr>
          <w:lang w:val="nl-NL"/>
        </w:rPr>
        <w:tab/>
      </w:r>
      <w:r w:rsidR="003B785E">
        <w:rPr>
          <w:lang w:val="nl-NL"/>
        </w:rPr>
        <w:tab/>
      </w:r>
      <w:r w:rsidR="003B785E">
        <w:rPr>
          <w:lang w:val="nl-NL"/>
        </w:rPr>
        <w:tab/>
      </w:r>
      <w:r w:rsidR="001D6EBF">
        <w:rPr>
          <w:lang w:val="nl-NL"/>
        </w:rPr>
        <w:tab/>
      </w:r>
      <w:r w:rsidR="003B785E">
        <w:rPr>
          <w:lang w:val="nl-NL"/>
        </w:rPr>
        <w:t>3</w:t>
      </w:r>
      <w:r w:rsidR="00256BA5">
        <w:rPr>
          <w:lang w:val="nl-NL"/>
        </w:rPr>
        <w:br/>
      </w:r>
      <w:r w:rsidR="003B785E">
        <w:rPr>
          <w:lang w:val="nl-NL"/>
        </w:rPr>
        <w:t>1.2.5</w:t>
      </w:r>
      <w:r w:rsidR="003B785E">
        <w:rPr>
          <w:lang w:val="nl-NL"/>
        </w:rPr>
        <w:tab/>
        <w:t>Onvoldoende betrekken van stakeholders</w:t>
      </w:r>
      <w:r w:rsidR="003B785E">
        <w:rPr>
          <w:lang w:val="nl-NL"/>
        </w:rPr>
        <w:tab/>
      </w:r>
      <w:r w:rsidR="003B785E">
        <w:rPr>
          <w:lang w:val="nl-NL"/>
        </w:rPr>
        <w:tab/>
      </w:r>
      <w:r w:rsidR="003B785E">
        <w:rPr>
          <w:lang w:val="nl-NL"/>
        </w:rPr>
        <w:tab/>
      </w:r>
      <w:r w:rsidR="003B785E">
        <w:rPr>
          <w:lang w:val="nl-NL"/>
        </w:rPr>
        <w:tab/>
      </w:r>
      <w:r w:rsidR="001D6EBF">
        <w:rPr>
          <w:lang w:val="nl-NL"/>
        </w:rPr>
        <w:tab/>
      </w:r>
      <w:r w:rsidR="003B785E">
        <w:rPr>
          <w:lang w:val="nl-NL"/>
        </w:rPr>
        <w:t>4</w:t>
      </w:r>
      <w:r w:rsidR="00256BA5">
        <w:rPr>
          <w:lang w:val="nl-NL"/>
        </w:rPr>
        <w:br/>
      </w:r>
      <w:r w:rsidR="003B785E">
        <w:rPr>
          <w:lang w:val="nl-NL"/>
        </w:rPr>
        <w:t xml:space="preserve">1.3 </w:t>
      </w:r>
      <w:r w:rsidR="003B785E">
        <w:rPr>
          <w:lang w:val="nl-NL"/>
        </w:rPr>
        <w:tab/>
        <w:t>Reacties van Kamoa Copper, Ivanhoe Mines en Zijin Mining Group</w:t>
      </w:r>
      <w:r w:rsidR="003B785E">
        <w:rPr>
          <w:lang w:val="nl-NL"/>
        </w:rPr>
        <w:tab/>
      </w:r>
      <w:r w:rsidR="001D6EBF">
        <w:rPr>
          <w:lang w:val="nl-NL"/>
        </w:rPr>
        <w:tab/>
        <w:t>4</w:t>
      </w:r>
    </w:p>
    <w:p w14:paraId="77BAEE13" w14:textId="1B9CB340" w:rsidR="001D6EBF" w:rsidRPr="00256BA5" w:rsidRDefault="001D6EBF" w:rsidP="00993B96">
      <w:pPr>
        <w:rPr>
          <w:b/>
          <w:bCs/>
          <w:lang w:val="nl-NL"/>
        </w:rPr>
      </w:pPr>
      <w:r w:rsidRPr="00256BA5">
        <w:rPr>
          <w:b/>
          <w:bCs/>
          <w:lang w:val="nl-NL"/>
        </w:rPr>
        <w:t>Hoofdstuk 2: Methode en resultaten</w:t>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00BC4C87" w:rsidRPr="00256BA5">
        <w:rPr>
          <w:b/>
          <w:bCs/>
          <w:lang w:val="nl-NL"/>
        </w:rPr>
        <w:t>5</w:t>
      </w:r>
    </w:p>
    <w:p w14:paraId="7B7FEB92" w14:textId="176F9C23" w:rsidR="00256BA5" w:rsidRDefault="00BC4C87" w:rsidP="00256BA5">
      <w:pPr>
        <w:ind w:left="720"/>
        <w:rPr>
          <w:lang w:val="nl-NL"/>
        </w:rPr>
      </w:pPr>
      <w:r>
        <w:rPr>
          <w:lang w:val="nl-NL"/>
        </w:rPr>
        <w:t>2.1</w:t>
      </w:r>
      <w:r>
        <w:rPr>
          <w:lang w:val="nl-NL"/>
        </w:rPr>
        <w:tab/>
        <w:t>Eerdere publicaties over de Kamoa-kopermijn</w:t>
      </w:r>
      <w:r>
        <w:rPr>
          <w:lang w:val="nl-NL"/>
        </w:rPr>
        <w:tab/>
      </w:r>
      <w:r>
        <w:rPr>
          <w:lang w:val="nl-NL"/>
        </w:rPr>
        <w:tab/>
      </w:r>
      <w:r>
        <w:rPr>
          <w:lang w:val="nl-NL"/>
        </w:rPr>
        <w:tab/>
      </w:r>
      <w:r>
        <w:rPr>
          <w:lang w:val="nl-NL"/>
        </w:rPr>
        <w:tab/>
        <w:t>5</w:t>
      </w:r>
      <w:r w:rsidR="00256BA5">
        <w:rPr>
          <w:lang w:val="nl-NL"/>
        </w:rPr>
        <w:br/>
      </w:r>
      <w:r>
        <w:rPr>
          <w:lang w:val="nl-NL"/>
        </w:rPr>
        <w:t>2.2</w:t>
      </w:r>
      <w:r>
        <w:rPr>
          <w:lang w:val="nl-NL"/>
        </w:rPr>
        <w:tab/>
        <w:t>Financiële analyse</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5</w:t>
      </w:r>
      <w:r w:rsidR="00256BA5">
        <w:rPr>
          <w:lang w:val="nl-NL"/>
        </w:rPr>
        <w:br/>
      </w:r>
      <w:r>
        <w:rPr>
          <w:lang w:val="nl-NL"/>
        </w:rPr>
        <w:t>2.3</w:t>
      </w:r>
      <w:r>
        <w:rPr>
          <w:lang w:val="nl-NL"/>
        </w:rPr>
        <w:tab/>
        <w:t>Reacties financiële instellingen op financiële analyse</w:t>
      </w:r>
      <w:r>
        <w:rPr>
          <w:lang w:val="nl-NL"/>
        </w:rPr>
        <w:tab/>
      </w:r>
      <w:r>
        <w:rPr>
          <w:lang w:val="nl-NL"/>
        </w:rPr>
        <w:tab/>
      </w:r>
      <w:r>
        <w:rPr>
          <w:lang w:val="nl-NL"/>
        </w:rPr>
        <w:tab/>
        <w:t>6</w:t>
      </w:r>
      <w:r w:rsidR="00256BA5">
        <w:rPr>
          <w:lang w:val="nl-NL"/>
        </w:rPr>
        <w:br/>
      </w:r>
      <w:r w:rsidR="00382126">
        <w:rPr>
          <w:lang w:val="nl-NL"/>
        </w:rPr>
        <w:t>2.4</w:t>
      </w:r>
      <w:r w:rsidR="00382126">
        <w:rPr>
          <w:lang w:val="nl-NL"/>
        </w:rPr>
        <w:tab/>
        <w:t>Uitvraag naar engagement</w:t>
      </w:r>
      <w:r w:rsidR="00382126">
        <w:rPr>
          <w:lang w:val="nl-NL"/>
        </w:rPr>
        <w:tab/>
      </w:r>
      <w:r w:rsidR="00382126">
        <w:rPr>
          <w:lang w:val="nl-NL"/>
        </w:rPr>
        <w:tab/>
      </w:r>
      <w:r w:rsidR="00382126">
        <w:rPr>
          <w:lang w:val="nl-NL"/>
        </w:rPr>
        <w:tab/>
      </w:r>
      <w:r w:rsidR="00382126">
        <w:rPr>
          <w:lang w:val="nl-NL"/>
        </w:rPr>
        <w:tab/>
      </w:r>
      <w:r w:rsidR="00382126">
        <w:rPr>
          <w:lang w:val="nl-NL"/>
        </w:rPr>
        <w:tab/>
      </w:r>
      <w:r w:rsidR="00382126">
        <w:rPr>
          <w:lang w:val="nl-NL"/>
        </w:rPr>
        <w:tab/>
      </w:r>
      <w:r w:rsidR="00382126">
        <w:rPr>
          <w:lang w:val="nl-NL"/>
        </w:rPr>
        <w:tab/>
        <w:t>6</w:t>
      </w:r>
      <w:r w:rsidR="00256BA5">
        <w:rPr>
          <w:lang w:val="nl-NL"/>
        </w:rPr>
        <w:br/>
      </w:r>
      <w:r w:rsidR="00382126">
        <w:rPr>
          <w:lang w:val="nl-NL"/>
        </w:rPr>
        <w:t>2.4.1</w:t>
      </w:r>
      <w:r w:rsidR="00382126">
        <w:rPr>
          <w:lang w:val="nl-NL"/>
        </w:rPr>
        <w:tab/>
        <w:t>Resultaten uitvraag: Allianz</w:t>
      </w:r>
      <w:r w:rsidR="00382126">
        <w:rPr>
          <w:lang w:val="nl-NL"/>
        </w:rPr>
        <w:tab/>
      </w:r>
      <w:r w:rsidR="00382126">
        <w:rPr>
          <w:lang w:val="nl-NL"/>
        </w:rPr>
        <w:tab/>
      </w:r>
      <w:r w:rsidR="00382126">
        <w:rPr>
          <w:lang w:val="nl-NL"/>
        </w:rPr>
        <w:tab/>
      </w:r>
      <w:r w:rsidR="00382126">
        <w:rPr>
          <w:lang w:val="nl-NL"/>
        </w:rPr>
        <w:tab/>
      </w:r>
      <w:r w:rsidR="00382126">
        <w:rPr>
          <w:lang w:val="nl-NL"/>
        </w:rPr>
        <w:tab/>
      </w:r>
      <w:r w:rsidR="00382126">
        <w:rPr>
          <w:lang w:val="nl-NL"/>
        </w:rPr>
        <w:tab/>
      </w:r>
      <w:r w:rsidR="00382126">
        <w:rPr>
          <w:lang w:val="nl-NL"/>
        </w:rPr>
        <w:tab/>
      </w:r>
      <w:r w:rsidR="00FB2052">
        <w:rPr>
          <w:lang w:val="nl-NL"/>
        </w:rPr>
        <w:t>7</w:t>
      </w:r>
      <w:r w:rsidR="00256BA5">
        <w:rPr>
          <w:lang w:val="nl-NL"/>
        </w:rPr>
        <w:br/>
      </w:r>
      <w:r w:rsidR="00FB2052">
        <w:rPr>
          <w:lang w:val="nl-NL"/>
        </w:rPr>
        <w:t>2.4.2</w:t>
      </w:r>
      <w:r w:rsidR="00FB2052">
        <w:rPr>
          <w:lang w:val="nl-NL"/>
        </w:rPr>
        <w:tab/>
        <w:t>Resultaten uitvraag: ABP</w:t>
      </w:r>
      <w:r w:rsidR="00FB2052">
        <w:rPr>
          <w:lang w:val="nl-NL"/>
        </w:rPr>
        <w:tab/>
      </w:r>
      <w:r w:rsidR="00FB2052">
        <w:rPr>
          <w:lang w:val="nl-NL"/>
        </w:rPr>
        <w:tab/>
      </w:r>
      <w:r w:rsidR="00FB2052">
        <w:rPr>
          <w:lang w:val="nl-NL"/>
        </w:rPr>
        <w:tab/>
      </w:r>
      <w:r w:rsidR="00FB2052">
        <w:rPr>
          <w:lang w:val="nl-NL"/>
        </w:rPr>
        <w:tab/>
      </w:r>
      <w:r w:rsidR="00FB2052">
        <w:rPr>
          <w:lang w:val="nl-NL"/>
        </w:rPr>
        <w:tab/>
      </w:r>
      <w:r w:rsidR="00FB2052">
        <w:rPr>
          <w:lang w:val="nl-NL"/>
        </w:rPr>
        <w:tab/>
      </w:r>
      <w:r w:rsidR="00FB2052">
        <w:rPr>
          <w:lang w:val="nl-NL"/>
        </w:rPr>
        <w:tab/>
        <w:t>7</w:t>
      </w:r>
      <w:r w:rsidR="00256BA5">
        <w:rPr>
          <w:lang w:val="nl-NL"/>
        </w:rPr>
        <w:br/>
      </w:r>
      <w:r w:rsidR="00FB2052">
        <w:rPr>
          <w:lang w:val="nl-NL"/>
        </w:rPr>
        <w:t>2.4.3</w:t>
      </w:r>
      <w:r w:rsidR="00FB2052">
        <w:rPr>
          <w:lang w:val="nl-NL"/>
        </w:rPr>
        <w:tab/>
        <w:t>Resultaten uitvraag: Pensioenfonds Detailhandel</w:t>
      </w:r>
      <w:r w:rsidR="00FB2052">
        <w:rPr>
          <w:lang w:val="nl-NL"/>
        </w:rPr>
        <w:tab/>
      </w:r>
      <w:r w:rsidR="00FB2052">
        <w:rPr>
          <w:lang w:val="nl-NL"/>
        </w:rPr>
        <w:tab/>
      </w:r>
      <w:r w:rsidR="00FB2052">
        <w:rPr>
          <w:lang w:val="nl-NL"/>
        </w:rPr>
        <w:tab/>
      </w:r>
      <w:r w:rsidR="00FB2052">
        <w:rPr>
          <w:lang w:val="nl-NL"/>
        </w:rPr>
        <w:tab/>
        <w:t>7</w:t>
      </w:r>
      <w:r w:rsidR="00256BA5">
        <w:rPr>
          <w:lang w:val="nl-NL"/>
        </w:rPr>
        <w:br/>
      </w:r>
      <w:r w:rsidR="00FB2052">
        <w:rPr>
          <w:lang w:val="nl-NL"/>
        </w:rPr>
        <w:t>2.4.4</w:t>
      </w:r>
      <w:r w:rsidR="00FB2052">
        <w:rPr>
          <w:lang w:val="nl-NL"/>
        </w:rPr>
        <w:tab/>
        <w:t>Resultaten uitvraag: Pensioenfonds Vervoer</w:t>
      </w:r>
      <w:r w:rsidR="00FB2052">
        <w:rPr>
          <w:lang w:val="nl-NL"/>
        </w:rPr>
        <w:tab/>
      </w:r>
      <w:r w:rsidR="00FB2052">
        <w:rPr>
          <w:lang w:val="nl-NL"/>
        </w:rPr>
        <w:tab/>
      </w:r>
      <w:r w:rsidR="00FB2052">
        <w:rPr>
          <w:lang w:val="nl-NL"/>
        </w:rPr>
        <w:tab/>
      </w:r>
      <w:r w:rsidR="00FB2052">
        <w:rPr>
          <w:lang w:val="nl-NL"/>
        </w:rPr>
        <w:tab/>
      </w:r>
      <w:r w:rsidR="00FB2052">
        <w:rPr>
          <w:lang w:val="nl-NL"/>
        </w:rPr>
        <w:tab/>
        <w:t>8</w:t>
      </w:r>
      <w:r w:rsidR="00256BA5">
        <w:rPr>
          <w:lang w:val="nl-NL"/>
        </w:rPr>
        <w:br/>
      </w:r>
      <w:r w:rsidR="00FB2052">
        <w:rPr>
          <w:lang w:val="nl-NL"/>
        </w:rPr>
        <w:t>2.4.5</w:t>
      </w:r>
      <w:r w:rsidR="00FB2052">
        <w:rPr>
          <w:lang w:val="nl-NL"/>
        </w:rPr>
        <w:tab/>
        <w:t>Resultaten uitvraag: BpfBOUW</w:t>
      </w:r>
      <w:r w:rsidR="00FB2052">
        <w:rPr>
          <w:lang w:val="nl-NL"/>
        </w:rPr>
        <w:tab/>
      </w:r>
      <w:r w:rsidR="00FB2052">
        <w:rPr>
          <w:lang w:val="nl-NL"/>
        </w:rPr>
        <w:tab/>
      </w:r>
      <w:r w:rsidR="00FB2052">
        <w:rPr>
          <w:lang w:val="nl-NL"/>
        </w:rPr>
        <w:tab/>
      </w:r>
      <w:r w:rsidR="00FB2052">
        <w:rPr>
          <w:lang w:val="nl-NL"/>
        </w:rPr>
        <w:tab/>
      </w:r>
      <w:r w:rsidR="00FB2052">
        <w:rPr>
          <w:lang w:val="nl-NL"/>
        </w:rPr>
        <w:tab/>
      </w:r>
      <w:r w:rsidR="00FB2052">
        <w:rPr>
          <w:lang w:val="nl-NL"/>
        </w:rPr>
        <w:tab/>
        <w:t>8</w:t>
      </w:r>
      <w:r w:rsidR="00256BA5">
        <w:rPr>
          <w:lang w:val="nl-NL"/>
        </w:rPr>
        <w:br/>
      </w:r>
      <w:r w:rsidR="00FB2052">
        <w:rPr>
          <w:lang w:val="nl-NL"/>
        </w:rPr>
        <w:t>2.4.6</w:t>
      </w:r>
      <w:r w:rsidR="00FB2052">
        <w:rPr>
          <w:lang w:val="nl-NL"/>
        </w:rPr>
        <w:tab/>
        <w:t>Resultaten uitvraag: ABN AMRO</w:t>
      </w:r>
      <w:r w:rsidR="00FB2052">
        <w:rPr>
          <w:lang w:val="nl-NL"/>
        </w:rPr>
        <w:tab/>
      </w:r>
      <w:r w:rsidR="00FB2052">
        <w:rPr>
          <w:lang w:val="nl-NL"/>
        </w:rPr>
        <w:tab/>
      </w:r>
      <w:r w:rsidR="00FB2052">
        <w:rPr>
          <w:lang w:val="nl-NL"/>
        </w:rPr>
        <w:tab/>
      </w:r>
      <w:r w:rsidR="00FB2052">
        <w:rPr>
          <w:lang w:val="nl-NL"/>
        </w:rPr>
        <w:tab/>
      </w:r>
      <w:r w:rsidR="00FB2052">
        <w:rPr>
          <w:lang w:val="nl-NL"/>
        </w:rPr>
        <w:tab/>
      </w:r>
      <w:r w:rsidR="00FB2052">
        <w:rPr>
          <w:lang w:val="nl-NL"/>
        </w:rPr>
        <w:tab/>
        <w:t>8</w:t>
      </w:r>
      <w:r w:rsidR="00256BA5">
        <w:rPr>
          <w:lang w:val="nl-NL"/>
        </w:rPr>
        <w:br/>
      </w:r>
      <w:r w:rsidR="00FB2052">
        <w:rPr>
          <w:lang w:val="nl-NL"/>
        </w:rPr>
        <w:t>2.4.7</w:t>
      </w:r>
      <w:r w:rsidR="00FB2052">
        <w:rPr>
          <w:lang w:val="nl-NL"/>
        </w:rPr>
        <w:tab/>
        <w:t>Resultaten uitvraag: StiPP</w:t>
      </w:r>
      <w:r w:rsidR="00FB2052">
        <w:rPr>
          <w:lang w:val="nl-NL"/>
        </w:rPr>
        <w:tab/>
      </w:r>
      <w:r w:rsidR="00FB2052">
        <w:rPr>
          <w:lang w:val="nl-NL"/>
        </w:rPr>
        <w:tab/>
      </w:r>
      <w:r w:rsidR="00FB2052">
        <w:rPr>
          <w:lang w:val="nl-NL"/>
        </w:rPr>
        <w:tab/>
      </w:r>
      <w:r w:rsidR="00FB2052">
        <w:rPr>
          <w:lang w:val="nl-NL"/>
        </w:rPr>
        <w:tab/>
      </w:r>
      <w:r w:rsidR="00FB2052">
        <w:rPr>
          <w:lang w:val="nl-NL"/>
        </w:rPr>
        <w:tab/>
      </w:r>
      <w:r w:rsidR="00FB2052">
        <w:rPr>
          <w:lang w:val="nl-NL"/>
        </w:rPr>
        <w:tab/>
      </w:r>
      <w:r w:rsidR="00FB2052">
        <w:rPr>
          <w:lang w:val="nl-NL"/>
        </w:rPr>
        <w:tab/>
        <w:t>8</w:t>
      </w:r>
      <w:r w:rsidR="00256BA5">
        <w:rPr>
          <w:lang w:val="nl-NL"/>
        </w:rPr>
        <w:br/>
        <w:t>2.5</w:t>
      </w:r>
      <w:r w:rsidR="00256BA5">
        <w:rPr>
          <w:lang w:val="nl-NL"/>
        </w:rPr>
        <w:tab/>
        <w:t>Conclusie</w:t>
      </w:r>
      <w:r w:rsidR="00256BA5">
        <w:rPr>
          <w:lang w:val="nl-NL"/>
        </w:rPr>
        <w:tab/>
      </w:r>
      <w:r w:rsidR="00256BA5">
        <w:rPr>
          <w:lang w:val="nl-NL"/>
        </w:rPr>
        <w:tab/>
      </w:r>
      <w:r w:rsidR="00256BA5">
        <w:rPr>
          <w:lang w:val="nl-NL"/>
        </w:rPr>
        <w:tab/>
      </w:r>
      <w:r w:rsidR="00256BA5">
        <w:rPr>
          <w:lang w:val="nl-NL"/>
        </w:rPr>
        <w:tab/>
      </w:r>
      <w:r w:rsidR="00256BA5">
        <w:rPr>
          <w:lang w:val="nl-NL"/>
        </w:rPr>
        <w:tab/>
      </w:r>
      <w:r w:rsidR="00256BA5">
        <w:rPr>
          <w:lang w:val="nl-NL"/>
        </w:rPr>
        <w:tab/>
      </w:r>
      <w:r w:rsidR="00256BA5">
        <w:rPr>
          <w:lang w:val="nl-NL"/>
        </w:rPr>
        <w:tab/>
      </w:r>
      <w:r w:rsidR="00256BA5">
        <w:rPr>
          <w:lang w:val="nl-NL"/>
        </w:rPr>
        <w:tab/>
      </w:r>
      <w:r w:rsidR="00256BA5">
        <w:rPr>
          <w:lang w:val="nl-NL"/>
        </w:rPr>
        <w:tab/>
        <w:t>9</w:t>
      </w:r>
      <w:r w:rsidR="00256BA5">
        <w:rPr>
          <w:lang w:val="nl-NL"/>
        </w:rPr>
        <w:br/>
        <w:t xml:space="preserve">2.6 </w:t>
      </w:r>
      <w:r w:rsidR="00256BA5">
        <w:rPr>
          <w:lang w:val="nl-NL"/>
        </w:rPr>
        <w:tab/>
        <w:t>Reacties financiële instellingen op het rapport</w:t>
      </w:r>
      <w:r w:rsidR="00256BA5">
        <w:rPr>
          <w:lang w:val="nl-NL"/>
        </w:rPr>
        <w:tab/>
      </w:r>
      <w:r w:rsidR="00256BA5">
        <w:rPr>
          <w:lang w:val="nl-NL"/>
        </w:rPr>
        <w:tab/>
      </w:r>
      <w:r w:rsidR="00256BA5">
        <w:rPr>
          <w:lang w:val="nl-NL"/>
        </w:rPr>
        <w:tab/>
      </w:r>
      <w:r w:rsidR="00256BA5">
        <w:rPr>
          <w:lang w:val="nl-NL"/>
        </w:rPr>
        <w:tab/>
        <w:t>9</w:t>
      </w:r>
      <w:r w:rsidR="00256BA5">
        <w:rPr>
          <w:lang w:val="nl-NL"/>
        </w:rPr>
        <w:br/>
        <w:t xml:space="preserve">2.7 </w:t>
      </w:r>
      <w:r w:rsidR="00256BA5">
        <w:rPr>
          <w:lang w:val="nl-NL"/>
        </w:rPr>
        <w:tab/>
        <w:t>Disclaimer</w:t>
      </w:r>
      <w:r w:rsidR="00256BA5">
        <w:rPr>
          <w:lang w:val="nl-NL"/>
        </w:rPr>
        <w:tab/>
      </w:r>
      <w:r w:rsidR="00256BA5">
        <w:rPr>
          <w:lang w:val="nl-NL"/>
        </w:rPr>
        <w:tab/>
      </w:r>
      <w:r w:rsidR="00256BA5">
        <w:rPr>
          <w:lang w:val="nl-NL"/>
        </w:rPr>
        <w:tab/>
      </w:r>
      <w:r w:rsidR="00256BA5">
        <w:rPr>
          <w:lang w:val="nl-NL"/>
        </w:rPr>
        <w:tab/>
      </w:r>
      <w:r w:rsidR="00256BA5">
        <w:rPr>
          <w:lang w:val="nl-NL"/>
        </w:rPr>
        <w:tab/>
      </w:r>
      <w:r w:rsidR="00256BA5">
        <w:rPr>
          <w:lang w:val="nl-NL"/>
        </w:rPr>
        <w:tab/>
      </w:r>
      <w:r w:rsidR="00256BA5">
        <w:rPr>
          <w:lang w:val="nl-NL"/>
        </w:rPr>
        <w:tab/>
      </w:r>
      <w:r w:rsidR="00256BA5">
        <w:rPr>
          <w:lang w:val="nl-NL"/>
        </w:rPr>
        <w:tab/>
      </w:r>
      <w:r w:rsidR="00256BA5">
        <w:rPr>
          <w:lang w:val="nl-NL"/>
        </w:rPr>
        <w:tab/>
        <w:t>9</w:t>
      </w:r>
    </w:p>
    <w:p w14:paraId="5E492E49" w14:textId="1CC01EEB" w:rsidR="00256BA5" w:rsidRPr="00256BA5" w:rsidRDefault="00256BA5" w:rsidP="00256BA5">
      <w:pPr>
        <w:rPr>
          <w:b/>
          <w:bCs/>
          <w:lang w:val="nl-NL"/>
        </w:rPr>
      </w:pPr>
      <w:r w:rsidRPr="00256BA5">
        <w:rPr>
          <w:b/>
          <w:bCs/>
          <w:lang w:val="nl-NL"/>
        </w:rPr>
        <w:t xml:space="preserve">Hoofdstuk 3: Aanbevelingen </w:t>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t>10</w:t>
      </w:r>
    </w:p>
    <w:p w14:paraId="63B0A21B" w14:textId="16810D9B" w:rsidR="00256BA5" w:rsidRDefault="00256BA5" w:rsidP="00256BA5">
      <w:pPr>
        <w:rPr>
          <w:lang w:val="nl-NL"/>
        </w:rPr>
      </w:pPr>
      <w:r>
        <w:rPr>
          <w:lang w:val="nl-NL"/>
        </w:rPr>
        <w:tab/>
        <w:t>3.1</w:t>
      </w:r>
      <w:r>
        <w:rPr>
          <w:lang w:val="nl-NL"/>
        </w:rPr>
        <w:tab/>
        <w:t>Aanbevelingen voor financiële instellingen</w:t>
      </w:r>
      <w:r>
        <w:rPr>
          <w:lang w:val="nl-NL"/>
        </w:rPr>
        <w:tab/>
      </w:r>
      <w:r>
        <w:rPr>
          <w:lang w:val="nl-NL"/>
        </w:rPr>
        <w:tab/>
      </w:r>
      <w:r>
        <w:rPr>
          <w:lang w:val="nl-NL"/>
        </w:rPr>
        <w:tab/>
      </w:r>
      <w:r>
        <w:rPr>
          <w:lang w:val="nl-NL"/>
        </w:rPr>
        <w:tab/>
      </w:r>
      <w:r>
        <w:rPr>
          <w:lang w:val="nl-NL"/>
        </w:rPr>
        <w:tab/>
        <w:t>10</w:t>
      </w:r>
      <w:r>
        <w:rPr>
          <w:lang w:val="nl-NL"/>
        </w:rPr>
        <w:br/>
      </w:r>
      <w:r>
        <w:rPr>
          <w:lang w:val="nl-NL"/>
        </w:rPr>
        <w:tab/>
        <w:t xml:space="preserve">3.2 </w:t>
      </w:r>
      <w:r>
        <w:rPr>
          <w:lang w:val="nl-NL"/>
        </w:rPr>
        <w:tab/>
        <w:t>Aanbevelingen voor de Nederlandse overheid</w:t>
      </w:r>
      <w:r>
        <w:rPr>
          <w:lang w:val="nl-NL"/>
        </w:rPr>
        <w:tab/>
      </w:r>
      <w:r>
        <w:rPr>
          <w:lang w:val="nl-NL"/>
        </w:rPr>
        <w:tab/>
      </w:r>
      <w:r>
        <w:rPr>
          <w:lang w:val="nl-NL"/>
        </w:rPr>
        <w:tab/>
      </w:r>
      <w:r>
        <w:rPr>
          <w:lang w:val="nl-NL"/>
        </w:rPr>
        <w:tab/>
        <w:t>11</w:t>
      </w:r>
    </w:p>
    <w:p w14:paraId="71357FFB" w14:textId="49504738" w:rsidR="00256BA5" w:rsidRPr="00256BA5" w:rsidRDefault="00256BA5" w:rsidP="00256BA5">
      <w:pPr>
        <w:rPr>
          <w:b/>
          <w:bCs/>
          <w:lang w:val="nl-NL"/>
        </w:rPr>
      </w:pPr>
      <w:r w:rsidRPr="00256BA5">
        <w:rPr>
          <w:b/>
          <w:bCs/>
          <w:lang w:val="nl-NL"/>
        </w:rPr>
        <w:t>Referenties</w:t>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r>
      <w:r w:rsidRPr="00256BA5">
        <w:rPr>
          <w:b/>
          <w:bCs/>
          <w:lang w:val="nl-NL"/>
        </w:rPr>
        <w:tab/>
        <w:t>12</w:t>
      </w:r>
    </w:p>
    <w:p w14:paraId="6B404872" w14:textId="409AD786" w:rsidR="00256BA5" w:rsidRDefault="00256BA5" w:rsidP="00256BA5">
      <w:pPr>
        <w:pStyle w:val="EGWHeadingSummary"/>
        <w:rPr>
          <w:lang w:val="nl-NL"/>
        </w:rPr>
      </w:pPr>
      <w:r>
        <w:rPr>
          <w:lang w:val="nl-NL"/>
        </w:rPr>
        <w:t>Lijst van tabellen</w:t>
      </w:r>
    </w:p>
    <w:p w14:paraId="4F1789B3" w14:textId="293F806D" w:rsidR="00256BA5" w:rsidRPr="00256BA5" w:rsidRDefault="00256BA5" w:rsidP="00256BA5">
      <w:pPr>
        <w:ind w:left="1440" w:hanging="1440"/>
        <w:rPr>
          <w:lang w:val="nl-NL"/>
        </w:rPr>
      </w:pPr>
      <w:r w:rsidRPr="00256BA5">
        <w:rPr>
          <w:b/>
          <w:bCs/>
          <w:lang w:val="nl-NL"/>
        </w:rPr>
        <w:t>Tabel 1</w:t>
      </w:r>
      <w:r w:rsidRPr="00256BA5">
        <w:rPr>
          <w:b/>
          <w:bCs/>
          <w:lang w:val="nl-NL"/>
        </w:rPr>
        <w:tab/>
        <w:t xml:space="preserve">Financiële instellingen met beleggingen in Ivanhoe Mines en/of Zijin </w:t>
      </w:r>
      <w:r w:rsidRPr="00256BA5">
        <w:rPr>
          <w:b/>
          <w:bCs/>
          <w:lang w:val="nl-NL"/>
        </w:rPr>
        <w:br/>
        <w:t>Mining Group (in euro)</w:t>
      </w:r>
      <w:r>
        <w:rPr>
          <w:lang w:val="nl-NL"/>
        </w:rPr>
        <w:tab/>
      </w:r>
      <w:r>
        <w:rPr>
          <w:lang w:val="nl-NL"/>
        </w:rPr>
        <w:tab/>
      </w:r>
      <w:r>
        <w:rPr>
          <w:lang w:val="nl-NL"/>
        </w:rPr>
        <w:tab/>
      </w:r>
      <w:r>
        <w:rPr>
          <w:lang w:val="nl-NL"/>
        </w:rPr>
        <w:tab/>
      </w:r>
      <w:r>
        <w:rPr>
          <w:lang w:val="nl-NL"/>
        </w:rPr>
        <w:tab/>
      </w:r>
      <w:r>
        <w:rPr>
          <w:lang w:val="nl-NL"/>
        </w:rPr>
        <w:tab/>
      </w:r>
      <w:r>
        <w:rPr>
          <w:lang w:val="nl-NL"/>
        </w:rPr>
        <w:tab/>
        <w:t>6</w:t>
      </w:r>
    </w:p>
    <w:p w14:paraId="54AF90F1" w14:textId="6BA56B8C" w:rsidR="00404B71" w:rsidRPr="00256BA5" w:rsidRDefault="00404B71" w:rsidP="00404B71">
      <w:pPr>
        <w:rPr>
          <w:lang w:val="nl-NL"/>
        </w:rPr>
      </w:pPr>
    </w:p>
    <w:p w14:paraId="6AC34265" w14:textId="77777777" w:rsidR="003F6706" w:rsidRPr="00C42373" w:rsidRDefault="003F6706" w:rsidP="00FC0145">
      <w:pPr>
        <w:rPr>
          <w:lang w:val="nl-NL"/>
        </w:rPr>
      </w:pPr>
    </w:p>
    <w:p w14:paraId="575A52F2" w14:textId="77777777" w:rsidR="00F12905" w:rsidRPr="00C42373" w:rsidRDefault="00F12905" w:rsidP="00F12905">
      <w:pPr>
        <w:rPr>
          <w:lang w:val="nl-NL"/>
        </w:rPr>
      </w:pPr>
    </w:p>
    <w:p w14:paraId="6102FCC5" w14:textId="396850B5" w:rsidR="00F12905" w:rsidRPr="00C42373" w:rsidRDefault="00F12905" w:rsidP="00F12905">
      <w:pPr>
        <w:tabs>
          <w:tab w:val="left" w:pos="1010"/>
        </w:tabs>
        <w:rPr>
          <w:lang w:val="nl-NL"/>
        </w:rPr>
        <w:sectPr w:rsidR="00F12905" w:rsidRPr="00C42373" w:rsidSect="00CC606B">
          <w:footnotePr>
            <w:numFmt w:val="lowerRoman"/>
          </w:footnotePr>
          <w:endnotePr>
            <w:numFmt w:val="decimal"/>
          </w:endnotePr>
          <w:type w:val="continuous"/>
          <w:pgSz w:w="11905" w:h="16837" w:code="9"/>
          <w:pgMar w:top="1418" w:right="1134" w:bottom="1418" w:left="1134" w:header="851" w:footer="851" w:gutter="0"/>
          <w:pgNumType w:start="1"/>
          <w:cols w:space="708"/>
          <w:docGrid w:linePitch="299"/>
        </w:sectPr>
      </w:pPr>
      <w:r w:rsidRPr="00C42373">
        <w:rPr>
          <w:lang w:val="nl-NL"/>
        </w:rPr>
        <w:tab/>
      </w:r>
    </w:p>
    <w:p w14:paraId="4AA7F752" w14:textId="2A074DB7" w:rsidR="00F45D03" w:rsidRPr="00C42373" w:rsidRDefault="00DC5E2D" w:rsidP="00573264">
      <w:pPr>
        <w:pStyle w:val="EGWHeading1"/>
        <w:rPr>
          <w:lang w:val="nl-NL"/>
        </w:rPr>
      </w:pPr>
      <w:r w:rsidRPr="00C42373">
        <w:rPr>
          <w:lang w:val="nl-NL"/>
        </w:rPr>
        <w:lastRenderedPageBreak/>
        <w:t>Overzicht rapport</w:t>
      </w:r>
    </w:p>
    <w:p w14:paraId="72E6EB6C" w14:textId="1C2B6626" w:rsidR="00506726" w:rsidRPr="00C42373" w:rsidRDefault="00506726" w:rsidP="00B0715A">
      <w:pPr>
        <w:rPr>
          <w:lang w:val="nl-NL"/>
        </w:rPr>
      </w:pPr>
      <w:r w:rsidRPr="00C42373">
        <w:rPr>
          <w:lang w:val="nl-NL"/>
        </w:rPr>
        <w:t>Nederlandse banken, pensioenfondsen en verzekeraars investeren vele miljarden in mijnbouwbedrijven, een sector waar mensenrechtenschendingen en schade aan milieu veelvuldig voorkom</w:t>
      </w:r>
      <w:r w:rsidR="007A6A51">
        <w:rPr>
          <w:lang w:val="nl-NL"/>
        </w:rPr>
        <w:t>en</w:t>
      </w:r>
      <w:r w:rsidRPr="00C42373">
        <w:rPr>
          <w:lang w:val="nl-NL"/>
        </w:rPr>
        <w:t xml:space="preserve">. </w:t>
      </w:r>
      <w:r w:rsidR="00B0715A">
        <w:rPr>
          <w:lang w:val="nl-NL"/>
        </w:rPr>
        <w:t>Via hun investeringen hebben</w:t>
      </w:r>
      <w:r w:rsidR="007A6A51" w:rsidRPr="00C42373">
        <w:rPr>
          <w:lang w:val="nl-NL"/>
        </w:rPr>
        <w:t xml:space="preserve"> </w:t>
      </w:r>
      <w:r w:rsidR="00B0715A">
        <w:rPr>
          <w:lang w:val="nl-NL"/>
        </w:rPr>
        <w:t>financiële instellingen</w:t>
      </w:r>
      <w:r w:rsidR="007A6A51" w:rsidRPr="00C42373">
        <w:rPr>
          <w:lang w:val="nl-NL"/>
        </w:rPr>
        <w:t xml:space="preserve"> niet alleen significante invloed op de financiële en economische markten, maar via hun investeringen ook op de samenleving. Internationale normen zoals de OESO-richtlijnen schrijven dan ook voor dat banken en institutionele beleggers de verantwoordelijkheid hebben om negatieve effecten op de samenleving en het milieu via hun activiteiten te voorkomen of te adresseren.</w:t>
      </w:r>
      <w:r w:rsidR="007A6A51" w:rsidRPr="00C42373">
        <w:rPr>
          <w:rStyle w:val="EndnoteReference"/>
          <w:lang w:val="nl-NL"/>
        </w:rPr>
        <w:endnoteReference w:id="2"/>
      </w:r>
      <w:r w:rsidR="007A6A51" w:rsidRPr="00C42373">
        <w:rPr>
          <w:lang w:val="nl-NL"/>
        </w:rPr>
        <w:t xml:space="preserve"> </w:t>
      </w:r>
      <w:r w:rsidRPr="00C42373">
        <w:rPr>
          <w:lang w:val="nl-NL"/>
        </w:rPr>
        <w:t xml:space="preserve">Dit rapport focust op één mijn: de Kamoa-kopermijn in het zuiden van Democratische Republiek Congo. </w:t>
      </w:r>
    </w:p>
    <w:p w14:paraId="533F8BBF" w14:textId="358493FC" w:rsidR="00700EDE" w:rsidRPr="00C42373" w:rsidRDefault="00223A97" w:rsidP="00223A97">
      <w:pPr>
        <w:jc w:val="both"/>
        <w:rPr>
          <w:lang w:val="nl-NL"/>
        </w:rPr>
      </w:pPr>
      <w:r w:rsidRPr="00C42373">
        <w:rPr>
          <w:lang w:val="nl-NL"/>
        </w:rPr>
        <w:t xml:space="preserve">De Kamoa-kopermijn is de </w:t>
      </w:r>
      <w:r w:rsidR="00BB6FD8">
        <w:rPr>
          <w:lang w:val="nl-NL"/>
        </w:rPr>
        <w:t>op drie na</w:t>
      </w:r>
      <w:r w:rsidRPr="00C42373">
        <w:rPr>
          <w:lang w:val="nl-NL"/>
        </w:rPr>
        <w:t xml:space="preserve"> grootste kopermijn ter wereld en de grootste producent van koper op het Afrikaanse continent. Het bedrijf wordt geëxploiteerd via de joint venture Kamoa-Kakula Copper, die bestaat uit vier partners: Ivanhoe Mines (39,6%), een Canadees bedrijf; Zijin Mining Group (39,6%), een Chinees bedrijf; Crystal River Global Limited (0,8%)</w:t>
      </w:r>
      <w:r w:rsidR="00907831" w:rsidRPr="00C42373">
        <w:rPr>
          <w:lang w:val="nl-NL"/>
        </w:rPr>
        <w:t xml:space="preserve">, </w:t>
      </w:r>
      <w:r w:rsidR="000B5908" w:rsidRPr="00C42373">
        <w:rPr>
          <w:lang w:val="nl-NL"/>
        </w:rPr>
        <w:t xml:space="preserve">het </w:t>
      </w:r>
      <w:r w:rsidR="00CC66D9" w:rsidRPr="00C42373">
        <w:rPr>
          <w:lang w:val="nl-NL"/>
        </w:rPr>
        <w:t>investment vehicle van So Hon Chun</w:t>
      </w:r>
      <w:r w:rsidR="00FD353E" w:rsidRPr="00C42373">
        <w:rPr>
          <w:lang w:val="nl-NL"/>
        </w:rPr>
        <w:t>,</w:t>
      </w:r>
      <w:r w:rsidR="00CC66D9" w:rsidRPr="00C42373">
        <w:rPr>
          <w:lang w:val="nl-NL"/>
        </w:rPr>
        <w:t xml:space="preserve"> Hong Kong</w:t>
      </w:r>
      <w:r w:rsidR="00FD353E" w:rsidRPr="00C42373">
        <w:rPr>
          <w:lang w:val="nl-NL"/>
        </w:rPr>
        <w:t xml:space="preserve">, </w:t>
      </w:r>
      <w:r w:rsidRPr="00C42373">
        <w:rPr>
          <w:lang w:val="nl-NL"/>
        </w:rPr>
        <w:t xml:space="preserve">en de regering van de Democratische Republiek Congo (20%). </w:t>
      </w:r>
      <w:r w:rsidR="00700EDE" w:rsidRPr="00C42373">
        <w:rPr>
          <w:lang w:val="nl-NL"/>
        </w:rPr>
        <w:t>De focus van het rapport ligt op investeringen in Ivanhoe Mines en Zijin Mining Group</w:t>
      </w:r>
      <w:r w:rsidR="00FD353E" w:rsidRPr="00C42373">
        <w:rPr>
          <w:lang w:val="nl-NL"/>
        </w:rPr>
        <w:t>, als grootste partijen in het Kamoa-kopermijnbedrijf</w:t>
      </w:r>
      <w:r w:rsidR="00700EDE" w:rsidRPr="00C42373">
        <w:rPr>
          <w:lang w:val="nl-NL"/>
        </w:rPr>
        <w:t>. Bij de</w:t>
      </w:r>
      <w:r w:rsidR="00FD353E" w:rsidRPr="00C42373">
        <w:rPr>
          <w:lang w:val="nl-NL"/>
        </w:rPr>
        <w:t xml:space="preserve"> Kamoa-</w:t>
      </w:r>
      <w:r w:rsidR="00700EDE" w:rsidRPr="00C42373">
        <w:rPr>
          <w:lang w:val="nl-NL"/>
        </w:rPr>
        <w:t xml:space="preserve">mijn hebben verschillende mensenrechtenschendingen plaatsgevonden, waaronder </w:t>
      </w:r>
      <w:r w:rsidR="00AB457D">
        <w:rPr>
          <w:lang w:val="nl-NL"/>
        </w:rPr>
        <w:t xml:space="preserve">de </w:t>
      </w:r>
      <w:r w:rsidR="00700EDE" w:rsidRPr="00C42373">
        <w:rPr>
          <w:lang w:val="nl-NL"/>
        </w:rPr>
        <w:t>verontreiniging van drinkwaterbronnen en het verplaatsen van de lokale gemeenschap zonder oog voor het behoud van diens levensonderhoud.</w:t>
      </w:r>
      <w:r w:rsidR="00AB457D">
        <w:rPr>
          <w:lang w:val="nl-NL"/>
        </w:rPr>
        <w:t xml:space="preserve"> Ook zijn</w:t>
      </w:r>
      <w:r w:rsidR="003A74EB">
        <w:rPr>
          <w:lang w:val="nl-NL"/>
        </w:rPr>
        <w:t xml:space="preserve"> vreedzame activisten ge</w:t>
      </w:r>
      <w:r w:rsidR="00AB457D" w:rsidRPr="00C42373">
        <w:rPr>
          <w:lang w:val="nl-NL"/>
        </w:rPr>
        <w:t>arreste</w:t>
      </w:r>
      <w:r w:rsidR="003A74EB">
        <w:rPr>
          <w:lang w:val="nl-NL"/>
        </w:rPr>
        <w:t>e</w:t>
      </w:r>
      <w:r w:rsidR="00AB457D" w:rsidRPr="00C42373">
        <w:rPr>
          <w:lang w:val="nl-NL"/>
        </w:rPr>
        <w:t>r</w:t>
      </w:r>
      <w:r w:rsidR="003A74EB">
        <w:rPr>
          <w:lang w:val="nl-NL"/>
        </w:rPr>
        <w:t>d</w:t>
      </w:r>
      <w:r w:rsidR="00AB457D" w:rsidRPr="00C42373">
        <w:rPr>
          <w:lang w:val="nl-NL"/>
        </w:rPr>
        <w:t xml:space="preserve"> en vervolg</w:t>
      </w:r>
      <w:r w:rsidR="003A74EB">
        <w:rPr>
          <w:lang w:val="nl-NL"/>
        </w:rPr>
        <w:t>d</w:t>
      </w:r>
      <w:r w:rsidR="00AB457D" w:rsidRPr="00C42373">
        <w:rPr>
          <w:lang w:val="nl-NL"/>
        </w:rPr>
        <w:t xml:space="preserve"> </w:t>
      </w:r>
      <w:r w:rsidR="003A74EB">
        <w:rPr>
          <w:lang w:val="nl-NL"/>
        </w:rPr>
        <w:t>naar aanleiding van een klacht van het mijnbouwbedrijf.</w:t>
      </w:r>
    </w:p>
    <w:p w14:paraId="0257E724" w14:textId="6E776E92" w:rsidR="00757FD7" w:rsidRPr="00C42373" w:rsidRDefault="00700EDE" w:rsidP="00757FD7">
      <w:pPr>
        <w:rPr>
          <w:lang w:val="nl-NL"/>
        </w:rPr>
      </w:pPr>
      <w:r w:rsidRPr="00C42373">
        <w:rPr>
          <w:lang w:val="nl-NL"/>
        </w:rPr>
        <w:t xml:space="preserve">De casus van de Kamoa-mijn toont dat de huidige praktijk leidt tot schade aan mens en milieu. Daarom is het van belang om te onderzoeken of en hoe financiële instellingen hun invloed aanwenden als geldschieter om de bedrijven achter de Kamoa-mijn te </w:t>
      </w:r>
      <w:r w:rsidR="00625A71">
        <w:rPr>
          <w:lang w:val="nl-NL"/>
        </w:rPr>
        <w:t>bewegen</w:t>
      </w:r>
      <w:r w:rsidRPr="00C42373">
        <w:rPr>
          <w:lang w:val="nl-NL"/>
        </w:rPr>
        <w:t xml:space="preserve"> de situatie op de grond te verbeteren. </w:t>
      </w:r>
      <w:r w:rsidR="00757FD7" w:rsidRPr="00C42373">
        <w:rPr>
          <w:lang w:val="nl-NL"/>
        </w:rPr>
        <w:t>Daarom onderzoekt dit rapport</w:t>
      </w:r>
      <w:r w:rsidRPr="00C42373">
        <w:rPr>
          <w:lang w:val="nl-NL"/>
        </w:rPr>
        <w:t>:</w:t>
      </w:r>
      <w:r w:rsidR="00757FD7" w:rsidRPr="00C42373">
        <w:rPr>
          <w:lang w:val="nl-NL"/>
        </w:rPr>
        <w:t xml:space="preserve"> i) de financiële </w:t>
      </w:r>
      <w:r w:rsidR="00625A71">
        <w:rPr>
          <w:lang w:val="nl-NL"/>
        </w:rPr>
        <w:t>relaties</w:t>
      </w:r>
      <w:r w:rsidR="00757FD7" w:rsidRPr="00C42373">
        <w:rPr>
          <w:lang w:val="nl-NL"/>
        </w:rPr>
        <w:t xml:space="preserve"> tussen Nederlandse financiële instellingen in Ivanhoe Mines en Zijin Mining Group, de twee bedrijven achter het Kamoa-kopermijncomplex in de Democratische Republiek Congo; en ii) het engagement van financiële instellingen met de bedrijven over schendingen van mensenrechten en schade aan het milieu. Engagement, zoals gesprekken tussen beleggers en bedrijven, is erop gericht om schendingen te adresseren en het bedrijf ertoe aan te zetten actie te ondernemen. </w:t>
      </w:r>
    </w:p>
    <w:p w14:paraId="5874A1BE" w14:textId="22E63B7E" w:rsidR="00506726" w:rsidRPr="00C42373" w:rsidRDefault="00700EDE" w:rsidP="00700EDE">
      <w:pPr>
        <w:jc w:val="both"/>
        <w:rPr>
          <w:lang w:val="nl-NL"/>
        </w:rPr>
      </w:pPr>
      <w:r w:rsidRPr="00C42373">
        <w:rPr>
          <w:lang w:val="nl-NL"/>
        </w:rPr>
        <w:t xml:space="preserve">Uit dit onderzoek </w:t>
      </w:r>
      <w:r w:rsidR="00D6365B" w:rsidRPr="00C42373">
        <w:rPr>
          <w:lang w:val="nl-NL"/>
        </w:rPr>
        <w:t xml:space="preserve">blijkt de volgende </w:t>
      </w:r>
      <w:r w:rsidRPr="00C42373">
        <w:rPr>
          <w:lang w:val="nl-NL"/>
        </w:rPr>
        <w:t xml:space="preserve">de top </w:t>
      </w:r>
      <w:r w:rsidR="00D6365B" w:rsidRPr="00C42373">
        <w:rPr>
          <w:lang w:val="nl-NL"/>
        </w:rPr>
        <w:t xml:space="preserve">van </w:t>
      </w:r>
      <w:r w:rsidRPr="00C42373">
        <w:rPr>
          <w:lang w:val="nl-NL"/>
        </w:rPr>
        <w:t>vijf grootste investeerders</w:t>
      </w:r>
      <w:r w:rsidR="000C6653" w:rsidRPr="00C42373">
        <w:rPr>
          <w:rStyle w:val="FootnoteReference"/>
          <w:lang w:val="nl-NL"/>
        </w:rPr>
        <w:footnoteReference w:id="2"/>
      </w:r>
      <w:r w:rsidRPr="00C42373">
        <w:rPr>
          <w:lang w:val="nl-NL"/>
        </w:rPr>
        <w:t xml:space="preserve"> in Ivanhoe Mines en Zijin Mining </w:t>
      </w:r>
      <w:r w:rsidR="00456364" w:rsidRPr="00C42373">
        <w:rPr>
          <w:lang w:val="nl-NL"/>
        </w:rPr>
        <w:t>G</w:t>
      </w:r>
      <w:r w:rsidRPr="00C42373">
        <w:rPr>
          <w:lang w:val="nl-NL"/>
        </w:rPr>
        <w:t>roup: Allianz (190 miljoen</w:t>
      </w:r>
      <w:r w:rsidR="00AD0F0C" w:rsidRPr="00C42373">
        <w:rPr>
          <w:lang w:val="nl-NL"/>
        </w:rPr>
        <w:t xml:space="preserve"> euro</w:t>
      </w:r>
      <w:r w:rsidRPr="00C42373">
        <w:rPr>
          <w:lang w:val="nl-NL"/>
        </w:rPr>
        <w:t>), ABP (99 miljoen</w:t>
      </w:r>
      <w:r w:rsidR="00AD0F0C" w:rsidRPr="00C42373">
        <w:rPr>
          <w:lang w:val="nl-NL"/>
        </w:rPr>
        <w:t xml:space="preserve"> euro</w:t>
      </w:r>
      <w:r w:rsidRPr="00C42373">
        <w:rPr>
          <w:lang w:val="nl-NL"/>
        </w:rPr>
        <w:t>), Pensioenfonds Detailhandel (10 miljoen</w:t>
      </w:r>
      <w:r w:rsidR="00AD0F0C" w:rsidRPr="00C42373">
        <w:rPr>
          <w:lang w:val="nl-NL"/>
        </w:rPr>
        <w:t xml:space="preserve"> euro</w:t>
      </w:r>
      <w:r w:rsidRPr="00C42373">
        <w:rPr>
          <w:lang w:val="nl-NL"/>
        </w:rPr>
        <w:t>), Pensioenfonds Vervoer (1,7 miljoen</w:t>
      </w:r>
      <w:r w:rsidR="00AD0F0C" w:rsidRPr="00C42373">
        <w:rPr>
          <w:lang w:val="nl-NL"/>
        </w:rPr>
        <w:t xml:space="preserve"> euro</w:t>
      </w:r>
      <w:r w:rsidRPr="00C42373">
        <w:rPr>
          <w:lang w:val="nl-NL"/>
        </w:rPr>
        <w:t>) en BpfBOUW (1,1 miljoen</w:t>
      </w:r>
      <w:r w:rsidR="00AD0F0C" w:rsidRPr="00C42373">
        <w:rPr>
          <w:lang w:val="nl-NL"/>
        </w:rPr>
        <w:t xml:space="preserve"> euro</w:t>
      </w:r>
      <w:r w:rsidRPr="00C42373">
        <w:rPr>
          <w:lang w:val="nl-NL"/>
        </w:rPr>
        <w:t>).</w:t>
      </w:r>
      <w:r w:rsidR="00012BB0">
        <w:rPr>
          <w:rStyle w:val="FootnoteReference"/>
          <w:lang w:val="nl-NL"/>
        </w:rPr>
        <w:footnoteReference w:id="3"/>
      </w:r>
      <w:r w:rsidRPr="00C42373">
        <w:rPr>
          <w:lang w:val="nl-NL"/>
        </w:rPr>
        <w:t xml:space="preserve">  Verder </w:t>
      </w:r>
      <w:r w:rsidR="00506726" w:rsidRPr="00C42373">
        <w:rPr>
          <w:lang w:val="nl-NL"/>
        </w:rPr>
        <w:t xml:space="preserve">blijkt dat geen </w:t>
      </w:r>
      <w:r w:rsidRPr="00C42373">
        <w:rPr>
          <w:lang w:val="nl-NL"/>
        </w:rPr>
        <w:t>van deze</w:t>
      </w:r>
      <w:r w:rsidR="00506726" w:rsidRPr="00C42373">
        <w:rPr>
          <w:lang w:val="nl-NL"/>
        </w:rPr>
        <w:t xml:space="preserve"> financiële instelling</w:t>
      </w:r>
      <w:r w:rsidRPr="00C42373">
        <w:rPr>
          <w:lang w:val="nl-NL"/>
        </w:rPr>
        <w:t>en</w:t>
      </w:r>
      <w:r w:rsidR="00506726" w:rsidRPr="00C42373">
        <w:rPr>
          <w:lang w:val="nl-NL"/>
        </w:rPr>
        <w:t xml:space="preserve"> engagement uitvoert met Ivanhoe Mines of Zijin Mining Group naar aanleiding van de schendingen bij de Kamoa-kopermijn.</w:t>
      </w:r>
      <w:r w:rsidR="007A6593">
        <w:rPr>
          <w:lang w:val="nl-NL"/>
        </w:rPr>
        <w:t xml:space="preserve"> </w:t>
      </w:r>
      <w:r w:rsidR="00506726" w:rsidRPr="00C42373">
        <w:rPr>
          <w:lang w:val="nl-NL"/>
        </w:rPr>
        <w:t xml:space="preserve">We roepen financiële instellingen om dit engagement wel aan te gaan en </w:t>
      </w:r>
      <w:r w:rsidR="00757FD7" w:rsidRPr="00C42373">
        <w:rPr>
          <w:lang w:val="nl-NL"/>
        </w:rPr>
        <w:t>doen daarbij ook concrete aanbevelingen, zoals dat</w:t>
      </w:r>
      <w:r w:rsidR="00506726" w:rsidRPr="00C42373">
        <w:rPr>
          <w:lang w:val="nl-NL"/>
        </w:rPr>
        <w:t xml:space="preserve"> Ivanhoe Mines en Zijin Mining Group geen</w:t>
      </w:r>
      <w:r w:rsidR="00757FD7" w:rsidRPr="00C42373">
        <w:rPr>
          <w:lang w:val="nl-NL"/>
        </w:rPr>
        <w:t xml:space="preserve"> </w:t>
      </w:r>
      <w:r w:rsidR="00615125">
        <w:rPr>
          <w:lang w:val="nl-NL"/>
        </w:rPr>
        <w:t>klachten meer indienen tegen vreedzame</w:t>
      </w:r>
      <w:r w:rsidR="00506726" w:rsidRPr="00C42373">
        <w:rPr>
          <w:lang w:val="nl-NL"/>
        </w:rPr>
        <w:t xml:space="preserve"> activisten, dat de drinkwatervoorziening voor de lokale bevolking verbetert</w:t>
      </w:r>
      <w:r w:rsidR="0086601A">
        <w:rPr>
          <w:lang w:val="nl-NL"/>
        </w:rPr>
        <w:t xml:space="preserve"> en</w:t>
      </w:r>
      <w:r w:rsidR="00757FD7" w:rsidRPr="00C42373">
        <w:rPr>
          <w:lang w:val="nl-NL"/>
        </w:rPr>
        <w:t xml:space="preserve"> </w:t>
      </w:r>
      <w:r w:rsidR="00506726" w:rsidRPr="00C42373">
        <w:rPr>
          <w:lang w:val="nl-NL"/>
        </w:rPr>
        <w:t xml:space="preserve">dat er </w:t>
      </w:r>
      <w:r w:rsidR="00757FD7" w:rsidRPr="00C42373">
        <w:rPr>
          <w:lang w:val="nl-NL"/>
        </w:rPr>
        <w:t xml:space="preserve">een </w:t>
      </w:r>
      <w:r w:rsidR="00506726" w:rsidRPr="00C42373">
        <w:rPr>
          <w:lang w:val="nl-NL"/>
        </w:rPr>
        <w:t xml:space="preserve">gedegen </w:t>
      </w:r>
      <w:r w:rsidR="00757FD7" w:rsidRPr="00C42373">
        <w:rPr>
          <w:lang w:val="nl-NL"/>
        </w:rPr>
        <w:t xml:space="preserve">klachtenmechanisme komt en </w:t>
      </w:r>
      <w:r w:rsidR="00506726" w:rsidRPr="00C42373">
        <w:rPr>
          <w:lang w:val="nl-NL"/>
        </w:rPr>
        <w:t xml:space="preserve">compensatie voor getroffenen. </w:t>
      </w:r>
    </w:p>
    <w:p w14:paraId="75473489" w14:textId="55C95863" w:rsidR="00BC3FC6" w:rsidRPr="00C42373" w:rsidRDefault="00DC5E2D" w:rsidP="00DC5E2D">
      <w:pPr>
        <w:pStyle w:val="EGWIntro"/>
        <w:rPr>
          <w:b w:val="0"/>
          <w:bCs w:val="0"/>
          <w:sz w:val="22"/>
          <w:szCs w:val="22"/>
          <w:lang w:val="nl-NL"/>
        </w:rPr>
      </w:pPr>
      <w:r w:rsidRPr="00C42373">
        <w:rPr>
          <w:b w:val="0"/>
          <w:bCs w:val="0"/>
          <w:sz w:val="22"/>
          <w:szCs w:val="22"/>
          <w:lang w:val="nl-NL"/>
        </w:rPr>
        <w:t xml:space="preserve">Het rapport is als volgt opgebouwd. Hoofdstuk 1 geeft een beschrijving van de casus van de Kamoa-kopermijn. </w:t>
      </w:r>
      <w:r w:rsidR="0056241E">
        <w:rPr>
          <w:b w:val="0"/>
          <w:bCs w:val="0"/>
          <w:sz w:val="22"/>
          <w:szCs w:val="22"/>
          <w:lang w:val="nl-NL"/>
        </w:rPr>
        <w:t>H</w:t>
      </w:r>
      <w:r w:rsidR="0056241E" w:rsidRPr="00C42373">
        <w:rPr>
          <w:b w:val="0"/>
          <w:bCs w:val="0"/>
          <w:sz w:val="22"/>
          <w:szCs w:val="22"/>
          <w:lang w:val="nl-NL"/>
        </w:rPr>
        <w:t>oofdstuk 2</w:t>
      </w:r>
      <w:r w:rsidR="0056241E">
        <w:rPr>
          <w:b w:val="0"/>
          <w:bCs w:val="0"/>
          <w:sz w:val="22"/>
          <w:szCs w:val="22"/>
          <w:lang w:val="nl-NL"/>
        </w:rPr>
        <w:t xml:space="preserve"> omschrijft d</w:t>
      </w:r>
      <w:r w:rsidRPr="00C42373">
        <w:rPr>
          <w:b w:val="0"/>
          <w:bCs w:val="0"/>
          <w:sz w:val="22"/>
          <w:szCs w:val="22"/>
          <w:lang w:val="nl-NL"/>
        </w:rPr>
        <w:t>e onderzoeksmethode</w:t>
      </w:r>
      <w:r w:rsidR="0056241E">
        <w:rPr>
          <w:b w:val="0"/>
          <w:bCs w:val="0"/>
          <w:sz w:val="22"/>
          <w:szCs w:val="22"/>
          <w:lang w:val="nl-NL"/>
        </w:rPr>
        <w:t xml:space="preserve"> naar investeringen en engagement door financiële instelling actief op de Nederlandse markt</w:t>
      </w:r>
      <w:r w:rsidR="00714C75">
        <w:rPr>
          <w:b w:val="0"/>
          <w:bCs w:val="0"/>
          <w:sz w:val="22"/>
          <w:szCs w:val="22"/>
          <w:lang w:val="nl-NL"/>
        </w:rPr>
        <w:t>. Ook worden de</w:t>
      </w:r>
      <w:r w:rsidRPr="00C42373">
        <w:rPr>
          <w:b w:val="0"/>
          <w:bCs w:val="0"/>
          <w:sz w:val="22"/>
          <w:szCs w:val="22"/>
          <w:lang w:val="nl-NL"/>
        </w:rPr>
        <w:t xml:space="preserve"> resultaten </w:t>
      </w:r>
      <w:r w:rsidR="00714C75">
        <w:rPr>
          <w:b w:val="0"/>
          <w:bCs w:val="0"/>
          <w:sz w:val="22"/>
          <w:szCs w:val="22"/>
          <w:lang w:val="nl-NL"/>
        </w:rPr>
        <w:t>van het onderzoek</w:t>
      </w:r>
      <w:r w:rsidRPr="00C42373">
        <w:rPr>
          <w:b w:val="0"/>
          <w:bCs w:val="0"/>
          <w:sz w:val="22"/>
          <w:szCs w:val="22"/>
          <w:lang w:val="nl-NL"/>
        </w:rPr>
        <w:t xml:space="preserve"> gepresenteerd. Ten slotte volgen in hoofdstuk 3 aanbevelingen voor financiële instellingen en de Nederlandse overheid.</w:t>
      </w:r>
    </w:p>
    <w:p w14:paraId="29265730" w14:textId="77777777" w:rsidR="006B7384" w:rsidRPr="00C42373" w:rsidRDefault="006B7384" w:rsidP="006B7384">
      <w:pPr>
        <w:pStyle w:val="EGWHeading1Chapternumber"/>
        <w:rPr>
          <w:lang w:val="nl-NL"/>
        </w:rPr>
      </w:pPr>
      <w:bookmarkStart w:id="3" w:name="_Ref76641148"/>
    </w:p>
    <w:bookmarkEnd w:id="3"/>
    <w:p w14:paraId="3EEB859C" w14:textId="4BFA4F35" w:rsidR="006B7384" w:rsidRPr="00C42373" w:rsidRDefault="007E7B31" w:rsidP="006B7384">
      <w:pPr>
        <w:pStyle w:val="EGWHeading1"/>
        <w:rPr>
          <w:lang w:val="nl-NL"/>
        </w:rPr>
      </w:pPr>
      <w:r w:rsidRPr="00C42373">
        <w:rPr>
          <w:lang w:val="nl-NL"/>
        </w:rPr>
        <w:t>M</w:t>
      </w:r>
      <w:r w:rsidR="00223A97" w:rsidRPr="00C42373">
        <w:rPr>
          <w:lang w:val="nl-NL"/>
        </w:rPr>
        <w:t>isstanden bij de Kamoa-kopermijn</w:t>
      </w:r>
    </w:p>
    <w:p w14:paraId="58A92D4A" w14:textId="5DEE40D3" w:rsidR="006B7384" w:rsidRPr="00573264" w:rsidRDefault="00757FD7" w:rsidP="00573264">
      <w:pPr>
        <w:pStyle w:val="EGWHeading2"/>
      </w:pPr>
      <w:proofErr w:type="spellStart"/>
      <w:r w:rsidRPr="00573264">
        <w:t>Introductie</w:t>
      </w:r>
      <w:proofErr w:type="spellEnd"/>
    </w:p>
    <w:p w14:paraId="6B4C64F1" w14:textId="29821A17" w:rsidR="00757FD7" w:rsidRPr="00C42373" w:rsidRDefault="00757FD7" w:rsidP="00757FD7">
      <w:pPr>
        <w:rPr>
          <w:lang w:val="nl-NL"/>
        </w:rPr>
      </w:pPr>
      <w:r w:rsidRPr="00C42373">
        <w:rPr>
          <w:lang w:val="nl-NL"/>
        </w:rPr>
        <w:t>Kamoa Copper SA (KAMCO S.A.) is een mijnbouwbedrijf in</w:t>
      </w:r>
      <w:r w:rsidR="00290276" w:rsidRPr="00C42373">
        <w:rPr>
          <w:lang w:val="nl-NL"/>
        </w:rPr>
        <w:t xml:space="preserve"> de</w:t>
      </w:r>
      <w:r w:rsidRPr="00C42373">
        <w:rPr>
          <w:lang w:val="nl-NL"/>
        </w:rPr>
        <w:t xml:space="preserve"> Democratische Republiek Congo, opgericht in 2015.</w:t>
      </w:r>
      <w:r w:rsidRPr="00C42373">
        <w:rPr>
          <w:rStyle w:val="EndnoteReference"/>
          <w:lang w:val="nl-NL"/>
        </w:rPr>
        <w:endnoteReference w:id="3"/>
      </w:r>
      <w:r w:rsidRPr="00C42373">
        <w:rPr>
          <w:lang w:val="nl-NL"/>
        </w:rPr>
        <w:t xml:space="preserve"> Het is gespecialiseerd in de prospectie, exploratie, exploitatie, verwerking en </w:t>
      </w:r>
      <w:r w:rsidR="00290276" w:rsidRPr="00C42373">
        <w:rPr>
          <w:lang w:val="nl-NL"/>
        </w:rPr>
        <w:t>verkoop</w:t>
      </w:r>
      <w:r w:rsidRPr="00C42373">
        <w:rPr>
          <w:lang w:val="nl-NL"/>
        </w:rPr>
        <w:t xml:space="preserve"> van koper en kobalt. Het bedrijf wordt geëxploiteerd via de joint venture Kamoa-Kakula Copper, die bestaat uit vier partners: Ivanhoe Mines (39,6%), een Canadees bedrijf; Zijin Mining Group (39,6%), een Chinees bedrijf; Crystal River Global Limited (0,8%)</w:t>
      </w:r>
      <w:r w:rsidR="000B5908" w:rsidRPr="00C42373">
        <w:rPr>
          <w:lang w:val="nl-NL"/>
        </w:rPr>
        <w:t xml:space="preserve">, het investment vehicle van So Hon Chun, Hong Kong, </w:t>
      </w:r>
      <w:r w:rsidRPr="00C42373">
        <w:rPr>
          <w:lang w:val="nl-NL"/>
        </w:rPr>
        <w:t>en de regering van de Democratische Republiek Congo (20%).</w:t>
      </w:r>
      <w:r w:rsidR="00290276" w:rsidRPr="00C42373">
        <w:rPr>
          <w:rStyle w:val="EndnoteReference"/>
          <w:lang w:val="nl-NL"/>
        </w:rPr>
        <w:endnoteReference w:id="4"/>
      </w:r>
      <w:r w:rsidRPr="00C42373">
        <w:rPr>
          <w:lang w:val="nl-NL"/>
        </w:rPr>
        <w:t xml:space="preserve"> </w:t>
      </w:r>
    </w:p>
    <w:p w14:paraId="6CC95102" w14:textId="494F8C9C" w:rsidR="00757FD7" w:rsidRPr="00C42373" w:rsidRDefault="00757FD7" w:rsidP="00757FD7">
      <w:pPr>
        <w:rPr>
          <w:lang w:val="nl-NL"/>
        </w:rPr>
      </w:pPr>
      <w:r w:rsidRPr="00C42373">
        <w:rPr>
          <w:lang w:val="nl-NL"/>
        </w:rPr>
        <w:t>Kamoa Copper ontwikkelt het enorme Kamoa-Kakula kopercomplex in de Democratische Republiek Congo. Het complex omvat drie operationele ondergrondse mijnen: Kansoko, Kamoa en Kakula. De productie van koperconcentraat in de mijn begon in mei 2021 en de commerciële productie startte in juli 2021.</w:t>
      </w:r>
      <w:r w:rsidR="00290276" w:rsidRPr="00C42373">
        <w:rPr>
          <w:rStyle w:val="EndnoteReference"/>
          <w:lang w:val="nl-NL"/>
        </w:rPr>
        <w:endnoteReference w:id="5"/>
      </w:r>
      <w:r w:rsidRPr="00C42373">
        <w:rPr>
          <w:lang w:val="nl-NL"/>
        </w:rPr>
        <w:t xml:space="preserve"> In 2024 was Kamoa de vierde koperproducent ter wereld.</w:t>
      </w:r>
      <w:r w:rsidR="00290276" w:rsidRPr="00C42373">
        <w:rPr>
          <w:rStyle w:val="EndnoteReference"/>
          <w:lang w:val="nl-NL"/>
        </w:rPr>
        <w:endnoteReference w:id="6"/>
      </w:r>
      <w:r w:rsidRPr="00C42373">
        <w:rPr>
          <w:lang w:val="nl-NL"/>
        </w:rPr>
        <w:t xml:space="preserve"> Volgens Ivanhoe Mines is het de snelstgroeiende kopermijn ter wereld.</w:t>
      </w:r>
      <w:r w:rsidR="00290276" w:rsidRPr="00C42373">
        <w:rPr>
          <w:rStyle w:val="EndnoteReference"/>
          <w:lang w:val="nl-NL"/>
        </w:rPr>
        <w:endnoteReference w:id="7"/>
      </w:r>
      <w:r w:rsidRPr="00C42373">
        <w:rPr>
          <w:lang w:val="nl-NL"/>
        </w:rPr>
        <w:t xml:space="preserve"> Kamoa-Kakula heeft zijn productiedoelstelling voor 2025 vastgesteld op 520.000 tot 580.000 ton koper. Deze prognose </w:t>
      </w:r>
      <w:r w:rsidR="003E131B" w:rsidRPr="00C42373">
        <w:rPr>
          <w:lang w:val="nl-NL"/>
        </w:rPr>
        <w:t>positioneert</w:t>
      </w:r>
      <w:r w:rsidRPr="00C42373">
        <w:rPr>
          <w:lang w:val="nl-NL"/>
        </w:rPr>
        <w:t xml:space="preserve"> het complex</w:t>
      </w:r>
      <w:r w:rsidR="003E131B" w:rsidRPr="00C42373">
        <w:rPr>
          <w:lang w:val="nl-NL"/>
        </w:rPr>
        <w:t xml:space="preserve"> als</w:t>
      </w:r>
      <w:r w:rsidRPr="00C42373">
        <w:rPr>
          <w:lang w:val="nl-NL"/>
        </w:rPr>
        <w:t xml:space="preserve"> de grootste kopermijn op het Afrikaanse continent.</w:t>
      </w:r>
      <w:r w:rsidR="00290276" w:rsidRPr="00C42373">
        <w:rPr>
          <w:rStyle w:val="EndnoteReference"/>
          <w:lang w:val="nl-NL"/>
        </w:rPr>
        <w:endnoteReference w:id="8"/>
      </w:r>
      <w:r w:rsidRPr="00C42373">
        <w:rPr>
          <w:lang w:val="nl-NL"/>
        </w:rPr>
        <w:t xml:space="preserve"> </w:t>
      </w:r>
    </w:p>
    <w:p w14:paraId="4192BC1A" w14:textId="756C70A9" w:rsidR="00757FD7" w:rsidRPr="00C42373" w:rsidRDefault="00757FD7" w:rsidP="00757FD7">
      <w:pPr>
        <w:rPr>
          <w:lang w:val="nl-NL"/>
        </w:rPr>
      </w:pPr>
      <w:r w:rsidRPr="00C42373">
        <w:rPr>
          <w:lang w:val="nl-NL"/>
        </w:rPr>
        <w:t>Ivanhoe Mines rapporteerde in 2024 een jaarlijkse omzet van USD 3,11 miljard voor het Kamoa-Kakula-project. Het op de locatie geproduceerde koperconcentraat wordt lokaal verwerkt en verder geraffineerd in China. Dat land is de belangrijkste bestemming en afnemer van de koper van Kamoa-Kakula</w:t>
      </w:r>
      <w:r w:rsidR="00290276" w:rsidRPr="00C42373">
        <w:rPr>
          <w:lang w:val="nl-NL"/>
        </w:rPr>
        <w:t xml:space="preserve">, vastgelegd in </w:t>
      </w:r>
      <w:r w:rsidRPr="00C42373">
        <w:rPr>
          <w:lang w:val="nl-NL"/>
        </w:rPr>
        <w:t>afnameovereenkomsten, voornamelijk met Zijin Mining en gelieerde Chinese smelterijen.</w:t>
      </w:r>
      <w:r w:rsidR="00290276" w:rsidRPr="00C42373">
        <w:rPr>
          <w:rStyle w:val="EndnoteReference"/>
          <w:lang w:val="nl-NL"/>
        </w:rPr>
        <w:endnoteReference w:id="9"/>
      </w:r>
    </w:p>
    <w:p w14:paraId="26503D9F" w14:textId="16FD3FC7" w:rsidR="00757FD7" w:rsidRPr="00993B96" w:rsidRDefault="00290276" w:rsidP="007C0557">
      <w:pPr>
        <w:pStyle w:val="EGWHeading2"/>
        <w:rPr>
          <w:lang w:val="nl-NL"/>
        </w:rPr>
      </w:pPr>
      <w:bookmarkStart w:id="4" w:name="_Hlk215753708"/>
      <w:r w:rsidRPr="00993B96">
        <w:rPr>
          <w:lang w:val="nl-NL"/>
        </w:rPr>
        <w:t xml:space="preserve">Milieu- en mensenrechtenkwesties rond de mijn </w:t>
      </w:r>
    </w:p>
    <w:bookmarkEnd w:id="4"/>
    <w:p w14:paraId="16413FB3" w14:textId="79DCDCFE" w:rsidR="00290276" w:rsidRPr="00C42373" w:rsidRDefault="00290276" w:rsidP="00290276">
      <w:pPr>
        <w:jc w:val="both"/>
        <w:rPr>
          <w:lang w:val="nl-NL"/>
        </w:rPr>
      </w:pPr>
      <w:r w:rsidRPr="00C42373">
        <w:rPr>
          <w:lang w:val="nl-NL"/>
        </w:rPr>
        <w:t>De mijnbouwactiviteiten van Kamoa hebben gevolgen voor talloze plattelandsgemeenschappen binnen de Mwilu- en Musokantanda-groeperingen</w:t>
      </w:r>
      <w:r w:rsidRPr="00C42373">
        <w:rPr>
          <w:rStyle w:val="EndnoteReference"/>
          <w:lang w:val="nl-NL"/>
        </w:rPr>
        <w:endnoteReference w:id="10"/>
      </w:r>
      <w:r w:rsidRPr="00C42373">
        <w:rPr>
          <w:lang w:val="nl-NL"/>
        </w:rPr>
        <w:t xml:space="preserve"> Ongeveer veertig dorpen zijn getroffen</w:t>
      </w:r>
      <w:r w:rsidR="003E131B" w:rsidRPr="00C42373">
        <w:rPr>
          <w:lang w:val="nl-NL"/>
        </w:rPr>
        <w:t>,</w:t>
      </w:r>
      <w:r w:rsidRPr="00C42373">
        <w:rPr>
          <w:rStyle w:val="EndnoteReference"/>
          <w:lang w:val="nl-NL"/>
        </w:rPr>
        <w:endnoteReference w:id="11"/>
      </w:r>
      <w:r w:rsidRPr="00C42373">
        <w:rPr>
          <w:lang w:val="nl-NL"/>
        </w:rPr>
        <w:t xml:space="preserve"> waaronder Muvunda, Kaponda 1 en 2, Israël en Mundjendje, die als de zwaarst getroffen dorpen worden beschouwd vanwege hun nabijheid tot mijnbouwinfrastructuur.</w:t>
      </w:r>
      <w:r w:rsidRPr="00C42373">
        <w:rPr>
          <w:rStyle w:val="EndnoteReference"/>
          <w:lang w:val="nl-NL"/>
        </w:rPr>
        <w:endnoteReference w:id="12"/>
      </w:r>
      <w:r w:rsidR="003E131B" w:rsidRPr="00C42373">
        <w:rPr>
          <w:lang w:val="nl-NL"/>
        </w:rPr>
        <w:t xml:space="preserve"> </w:t>
      </w:r>
      <w:r w:rsidRPr="00C42373">
        <w:rPr>
          <w:lang w:val="nl-NL"/>
        </w:rPr>
        <w:t>Het dorp Muvunda in het bijzonder, omdat een groot deel van de Kakula-mijn op het grondgebied van het dorp staat. De Kaponda-dorpen dienen als hervestigingsplaatsen voor ontheemden uit het dorp Tshimbuji. Israël ligt naast de ingang van de ondergrondse mijn van Kamoa en Mundjendje ligt op het traditionele grondgebied van Chief Muvunda.</w:t>
      </w:r>
      <w:r w:rsidRPr="00C42373">
        <w:rPr>
          <w:rStyle w:val="EndnoteReference"/>
          <w:lang w:val="nl-NL"/>
        </w:rPr>
        <w:endnoteReference w:id="13"/>
      </w:r>
    </w:p>
    <w:p w14:paraId="6ECCFE38" w14:textId="5B76237D" w:rsidR="00290276" w:rsidRPr="00C42373" w:rsidRDefault="00290276" w:rsidP="00290276">
      <w:pPr>
        <w:jc w:val="both"/>
        <w:rPr>
          <w:lang w:val="nl-NL"/>
        </w:rPr>
      </w:pPr>
      <w:r w:rsidRPr="00C42373">
        <w:rPr>
          <w:lang w:val="nl-NL"/>
        </w:rPr>
        <w:t>De verplaatsing van dorpen in de buurt van de Kamoa-Kakula-mijn is een gevolg van de uitbreiding van het mijnbouwproject en de bijbehorende infrastructuur. Hoewel het project formeel binnen een bepaalde omtrek valt, blijkt uit de praktijk dat de impactzone breder is, met infrastructuur die zich uitstrekt tot buiten de vergunde concessies.</w:t>
      </w:r>
      <w:r w:rsidRPr="00C42373">
        <w:rPr>
          <w:rStyle w:val="EndnoteReference"/>
          <w:lang w:val="nl-NL"/>
        </w:rPr>
        <w:endnoteReference w:id="14"/>
      </w:r>
    </w:p>
    <w:p w14:paraId="49419FD5" w14:textId="71771702" w:rsidR="00290276" w:rsidRPr="00C42373" w:rsidRDefault="00290276" w:rsidP="00290276">
      <w:pPr>
        <w:rPr>
          <w:lang w:val="nl-NL"/>
        </w:rPr>
      </w:pPr>
      <w:r w:rsidRPr="00C42373">
        <w:rPr>
          <w:lang w:val="nl-NL"/>
        </w:rPr>
        <w:t>Hieronder volgt een</w:t>
      </w:r>
      <w:r w:rsidR="000425E2" w:rsidRPr="00C42373">
        <w:rPr>
          <w:lang w:val="nl-NL"/>
        </w:rPr>
        <w:t xml:space="preserve"> concreet</w:t>
      </w:r>
      <w:r w:rsidRPr="00C42373">
        <w:rPr>
          <w:lang w:val="nl-NL"/>
        </w:rPr>
        <w:t xml:space="preserve"> overzicht van de milieu- en mensenrechtenkwesties.</w:t>
      </w:r>
    </w:p>
    <w:p w14:paraId="759D8106" w14:textId="4651C106" w:rsidR="00290276" w:rsidRPr="00C42373" w:rsidRDefault="00290276" w:rsidP="00290276">
      <w:pPr>
        <w:pStyle w:val="EGWHeading3"/>
        <w:rPr>
          <w:lang w:val="nl-NL"/>
        </w:rPr>
      </w:pPr>
      <w:r w:rsidRPr="00C42373">
        <w:rPr>
          <w:lang w:val="nl-NL"/>
        </w:rPr>
        <w:t>Recht op participatie en informatie</w:t>
      </w:r>
    </w:p>
    <w:p w14:paraId="0E7E555E" w14:textId="2404222C" w:rsidR="000425E2" w:rsidRPr="00C42373" w:rsidRDefault="00290276" w:rsidP="00290276">
      <w:pPr>
        <w:jc w:val="both"/>
        <w:rPr>
          <w:lang w:val="nl-NL"/>
        </w:rPr>
      </w:pPr>
      <w:r w:rsidRPr="00C42373">
        <w:rPr>
          <w:lang w:val="nl-NL"/>
        </w:rPr>
        <w:t xml:space="preserve">Hoewel Kamoa Copper dialoogmechanismen heeft opgezet met omwonenden, zoals de Displacement Committees, zijn deze </w:t>
      </w:r>
      <w:r w:rsidR="00674822">
        <w:rPr>
          <w:lang w:val="nl-NL"/>
        </w:rPr>
        <w:t>commissies</w:t>
      </w:r>
      <w:r w:rsidRPr="00C42373">
        <w:rPr>
          <w:lang w:val="nl-NL"/>
        </w:rPr>
        <w:t xml:space="preserve"> grotendeels inactief. Traditionele stamhoofden en vertegenwoordigers van de staat bemiddelen vaak in kwesties</w:t>
      </w:r>
      <w:r w:rsidR="003E131B" w:rsidRPr="00C42373">
        <w:rPr>
          <w:lang w:val="nl-NL"/>
        </w:rPr>
        <w:t xml:space="preserve"> met het mijnbouwbedrijf</w:t>
      </w:r>
      <w:r w:rsidRPr="00C42373">
        <w:rPr>
          <w:lang w:val="nl-NL"/>
        </w:rPr>
        <w:t xml:space="preserve">, waardoor de bredere gemeenschap buitenspel wordt gezet. Hierdoor voelen veel dorpelingen zich in de steek </w:t>
      </w:r>
      <w:r w:rsidRPr="00C42373">
        <w:rPr>
          <w:lang w:val="nl-NL"/>
        </w:rPr>
        <w:lastRenderedPageBreak/>
        <w:t>gelaten en missen ze duidelijke kanalen om klachten te uiten. In gesprek met lokale bewoners wordt de ineffectiviteit van de klachtensystemen van het bedrijf en het gebrek aan transparante communicatie benadrukt.</w:t>
      </w:r>
      <w:r w:rsidR="000425E2" w:rsidRPr="00C42373">
        <w:rPr>
          <w:rStyle w:val="EndnoteReference"/>
          <w:lang w:val="nl-NL"/>
        </w:rPr>
        <w:endnoteReference w:id="15"/>
      </w:r>
    </w:p>
    <w:p w14:paraId="1E8BBA3D" w14:textId="48038715" w:rsidR="000425E2" w:rsidRPr="00C42373" w:rsidRDefault="000425E2" w:rsidP="00290276">
      <w:pPr>
        <w:pStyle w:val="EGWHeading3"/>
        <w:rPr>
          <w:lang w:val="nl-NL"/>
        </w:rPr>
      </w:pPr>
      <w:r w:rsidRPr="00C42373">
        <w:rPr>
          <w:lang w:val="nl-NL"/>
        </w:rPr>
        <w:t>Toegang tot schoon drinkwater</w:t>
      </w:r>
    </w:p>
    <w:p w14:paraId="04778320" w14:textId="53476E91" w:rsidR="000425E2" w:rsidRPr="00C42373" w:rsidRDefault="000425E2" w:rsidP="003E131B">
      <w:pPr>
        <w:jc w:val="both"/>
        <w:rPr>
          <w:lang w:val="nl-NL"/>
        </w:rPr>
      </w:pPr>
      <w:r w:rsidRPr="00C42373">
        <w:rPr>
          <w:lang w:val="nl-NL"/>
        </w:rPr>
        <w:t>De waterkwaliteit en de beschikbaarheid van schoon drinkwater voor lokale gemeenschappen is zorgelijk. Lokale gemeenschappen waren afhankelijk van rivieren als drinkwaterbron voordat de mijnbouw begon. Sinds de start van Kamoa's activiteiten wijzen rapporten op aanzienlijke waterverontreiniging. Bewoners beschuldigen het bedrijf ervan vervuild water te lozen in lokale rivieren, met name de Mulunguishi en de Tshimbundji. Deze vervuiling heeft het water ongeschikt gemaakt voor menselijke consumptie en gebruik voor landbouwdoeleinden.</w:t>
      </w:r>
      <w:r w:rsidRPr="00C42373">
        <w:rPr>
          <w:rStyle w:val="EndnoteReference"/>
          <w:lang w:val="nl-NL"/>
        </w:rPr>
        <w:endnoteReference w:id="16"/>
      </w:r>
    </w:p>
    <w:p w14:paraId="77EE0889" w14:textId="3DB5ECE8" w:rsidR="000425E2" w:rsidRPr="00C42373" w:rsidRDefault="000425E2" w:rsidP="003E131B">
      <w:pPr>
        <w:jc w:val="both"/>
        <w:rPr>
          <w:lang w:val="nl-NL"/>
        </w:rPr>
      </w:pPr>
      <w:r w:rsidRPr="00C42373">
        <w:rPr>
          <w:lang w:val="nl-NL"/>
        </w:rPr>
        <w:t>Onderzoek uitgevoerd door een Congolese universiteit in oktober 2025 bevestigt aanzienlijke metaalverontreiniging van oppervlaktewater en sedimenten, met name kobalt (Co), koper (Cu), ijzer (Fe), mangaan (Mn) en lood (Pb), met concentraties die de richtlijnen voor drinkwater van de Wereldgezondheidsorganisatie ver overschrijden.</w:t>
      </w:r>
      <w:r w:rsidRPr="00C42373">
        <w:rPr>
          <w:rStyle w:val="EndnoteReference"/>
          <w:lang w:val="nl-NL"/>
        </w:rPr>
        <w:endnoteReference w:id="17"/>
      </w:r>
    </w:p>
    <w:p w14:paraId="01CA6C87" w14:textId="2A9D5C64" w:rsidR="000425E2" w:rsidRPr="00C42373" w:rsidRDefault="000425E2" w:rsidP="003E131B">
      <w:pPr>
        <w:jc w:val="both"/>
        <w:rPr>
          <w:lang w:val="nl-NL"/>
        </w:rPr>
      </w:pPr>
      <w:r w:rsidRPr="00C42373">
        <w:rPr>
          <w:lang w:val="nl-NL"/>
        </w:rPr>
        <w:t>De studie constateert ook een gedeeltelijke of volledige opdroging van verschillende rivieren, met een alarmerende situatie voor de Kambuluku-rivier en een duidelijke afname van de waterstroom van de Mulungwishi-rivier.</w:t>
      </w:r>
      <w:r w:rsidRPr="00C42373">
        <w:rPr>
          <w:rStyle w:val="EndnoteReference"/>
          <w:lang w:val="nl-NL"/>
        </w:rPr>
        <w:endnoteReference w:id="18"/>
      </w:r>
      <w:r w:rsidRPr="00C42373">
        <w:rPr>
          <w:lang w:val="nl-NL"/>
        </w:rPr>
        <w:t xml:space="preserve"> De toenemende uitputting van de watervoorraden door de mijn vergroot de sociaal-</w:t>
      </w:r>
      <w:r w:rsidR="00141333" w:rsidRPr="00C42373">
        <w:rPr>
          <w:lang w:val="nl-NL"/>
        </w:rPr>
        <w:t>e</w:t>
      </w:r>
      <w:r w:rsidRPr="00C42373">
        <w:rPr>
          <w:lang w:val="nl-NL"/>
        </w:rPr>
        <w:t>conomische kwetsbaarheid van huishoudens op het platteland. Ook kan het op de lange termijn gevolgen hebben voor het milieu indien er geen mitigerende maatregelen worden genomen.</w:t>
      </w:r>
    </w:p>
    <w:p w14:paraId="4DB23B27" w14:textId="48F50A81" w:rsidR="000425E2" w:rsidRPr="00C42373" w:rsidRDefault="000425E2" w:rsidP="003E131B">
      <w:pPr>
        <w:jc w:val="both"/>
        <w:rPr>
          <w:lang w:val="nl-NL"/>
        </w:rPr>
      </w:pPr>
      <w:r w:rsidRPr="00C42373">
        <w:rPr>
          <w:lang w:val="nl-NL"/>
        </w:rPr>
        <w:t>Als reactie op de verontreiniging van rivieren, die als drinkwaterbronnen dienden, heeft Kamoa Copper waterputten geboord en tanks geïnstalleerd in de getroffen dorpen. Deze voorzieningen zijn echter onvoldoende</w:t>
      </w:r>
      <w:r w:rsidR="006C6A72">
        <w:rPr>
          <w:lang w:val="nl-NL"/>
        </w:rPr>
        <w:t xml:space="preserve"> om in de behoefte van de bevolking te voorzien</w:t>
      </w:r>
      <w:r w:rsidRPr="00C42373">
        <w:rPr>
          <w:lang w:val="nl-NL"/>
        </w:rPr>
        <w:t>. In Muvunda zijn weliswaar drie waterputten aangelegd, maar er is er nog maar één in werking. Deze voldoet niet aan de behoeften van de 45 verplaatste huishoudens en de gemeenschappen waar deze mensen worden gehuisves</w:t>
      </w:r>
      <w:r w:rsidR="00141333" w:rsidRPr="00C42373">
        <w:rPr>
          <w:lang w:val="nl-NL"/>
        </w:rPr>
        <w:t>t</w:t>
      </w:r>
      <w:r w:rsidRPr="00C42373">
        <w:rPr>
          <w:lang w:val="nl-NL"/>
        </w:rPr>
        <w:t>. De waterdistributie is bovendien beperkt tot de middaguren, wat leidt tot lange wachtrijen en sociale spanningen.</w:t>
      </w:r>
      <w:r w:rsidRPr="00C42373">
        <w:rPr>
          <w:rStyle w:val="EndnoteReference"/>
          <w:lang w:val="nl-NL"/>
        </w:rPr>
        <w:endnoteReference w:id="19"/>
      </w:r>
    </w:p>
    <w:p w14:paraId="1BD14F32" w14:textId="68045949" w:rsidR="000425E2" w:rsidRPr="00C42373" w:rsidRDefault="000425E2" w:rsidP="00290276">
      <w:pPr>
        <w:pStyle w:val="EGWHeading3"/>
        <w:rPr>
          <w:lang w:val="nl-NL"/>
        </w:rPr>
      </w:pPr>
      <w:r w:rsidRPr="00C42373">
        <w:rPr>
          <w:lang w:val="nl-NL"/>
        </w:rPr>
        <w:t>Verplaatsing van lokale bevolking en compensatie</w:t>
      </w:r>
    </w:p>
    <w:p w14:paraId="33572905" w14:textId="1831A3FD" w:rsidR="000425E2" w:rsidRPr="00C42373" w:rsidRDefault="000425E2" w:rsidP="003E131B">
      <w:pPr>
        <w:jc w:val="both"/>
        <w:rPr>
          <w:lang w:val="nl-NL"/>
        </w:rPr>
      </w:pPr>
      <w:r w:rsidRPr="00C42373">
        <w:rPr>
          <w:lang w:val="nl-NL"/>
        </w:rPr>
        <w:t xml:space="preserve">Gemeenschappen die moesten verhuizen voor de mijn hebben geleden onder de verplaatsingen. De compensatie en landbouwgronden die Kamoa Copper aanbiedt, worden als onvoldoende beschouwd en zijn slecht afgestemd op de behoeften van de gemeenschappen. Dorpelingen worden vaak geconfronteerd met abrupte verplaatsingen die niet aansluiten bij de landbouwcycli, waardoor inkomsten en voedselzekerheid worden verstoord. Vervangende landbouwgrond die aan de verplaatste bevolking werd verstrekt is vaak van slechte kwaliteit. Onproductieve gronden worden uiteindelijk verlaten, waardoor het vermogen van de gemeenschappen om hun bestaansmiddelen te herstellen verder in gevaar komt. </w:t>
      </w:r>
    </w:p>
    <w:p w14:paraId="31CD6196" w14:textId="193EE300" w:rsidR="000425E2" w:rsidRPr="00C42373" w:rsidRDefault="000425E2" w:rsidP="003E131B">
      <w:pPr>
        <w:jc w:val="both"/>
        <w:rPr>
          <w:lang w:val="nl-NL"/>
        </w:rPr>
      </w:pPr>
      <w:r w:rsidRPr="00C42373">
        <w:rPr>
          <w:lang w:val="nl-NL"/>
        </w:rPr>
        <w:t>In de DRC wordt landbezit grotendeels georganiseerd door een duaal systeem dat statutair recht en gewoonterecht combineert. Plattelandsgrond is vaak gemeenschappelijk bezit op basis van het gewoonterecht en wordt beheerd door traditionele autoriteiten (chefferies). Deze complexiteit compliceert formele compensatie en landvervanging.</w:t>
      </w:r>
      <w:r w:rsidRPr="00C42373">
        <w:rPr>
          <w:rStyle w:val="EndnoteReference"/>
          <w:lang w:val="nl-NL"/>
        </w:rPr>
        <w:endnoteReference w:id="20"/>
      </w:r>
    </w:p>
    <w:p w14:paraId="450B83F8" w14:textId="6E802EC2" w:rsidR="000425E2" w:rsidRPr="00C42373" w:rsidRDefault="006C568B" w:rsidP="00290276">
      <w:pPr>
        <w:pStyle w:val="EGWHeading3"/>
        <w:rPr>
          <w:lang w:val="nl-NL"/>
        </w:rPr>
      </w:pPr>
      <w:r>
        <w:rPr>
          <w:lang w:val="nl-NL"/>
        </w:rPr>
        <w:t>Juridische stappen tegen</w:t>
      </w:r>
      <w:r w:rsidR="0097406F" w:rsidRPr="00C42373">
        <w:rPr>
          <w:lang w:val="nl-NL"/>
        </w:rPr>
        <w:t xml:space="preserve"> vreedzame</w:t>
      </w:r>
      <w:r w:rsidR="000425E2" w:rsidRPr="00C42373">
        <w:rPr>
          <w:lang w:val="nl-NL"/>
        </w:rPr>
        <w:t xml:space="preserve"> activisten</w:t>
      </w:r>
    </w:p>
    <w:p w14:paraId="53683608" w14:textId="61FA37F5" w:rsidR="000425E2" w:rsidRPr="00C42373" w:rsidRDefault="000425E2" w:rsidP="000425E2">
      <w:pPr>
        <w:jc w:val="both"/>
        <w:rPr>
          <w:lang w:val="nl-NL"/>
        </w:rPr>
      </w:pPr>
      <w:r w:rsidRPr="00C42373">
        <w:rPr>
          <w:lang w:val="nl-NL"/>
        </w:rPr>
        <w:t xml:space="preserve">Eind 2024 kondigde Kamoa Copper plannen aan om tien extra dorpen te verplaatsen. De uitzettingsprocedure, die door het bedrijf wordt uitgevoerd onder toezicht van de provinciale herplaatsingscommissie, werd gekenmerkt door vertragingen en een gebrek aan transparantie. Dit leidde tot een vreedzaam protest op </w:t>
      </w:r>
      <w:r w:rsidR="00F0245C" w:rsidRPr="00C42373">
        <w:rPr>
          <w:lang w:val="nl-NL"/>
        </w:rPr>
        <w:t xml:space="preserve">de openbare weg op </w:t>
      </w:r>
      <w:r w:rsidRPr="00C42373">
        <w:rPr>
          <w:lang w:val="nl-NL"/>
        </w:rPr>
        <w:t>22 april 2025.</w:t>
      </w:r>
      <w:r w:rsidR="00F0245C" w:rsidRPr="00C42373">
        <w:rPr>
          <w:lang w:val="nl-NL"/>
        </w:rPr>
        <w:t xml:space="preserve"> Het protest ging onder meer over het recht op een eerlijke compensatie en hervestiging</w:t>
      </w:r>
      <w:r w:rsidR="007C4098" w:rsidRPr="00C42373">
        <w:rPr>
          <w:lang w:val="nl-NL"/>
        </w:rPr>
        <w:t>.</w:t>
      </w:r>
      <w:r w:rsidR="00E36ACA" w:rsidRPr="00C42373">
        <w:rPr>
          <w:lang w:val="nl-NL"/>
        </w:rPr>
        <w:t xml:space="preserve"> </w:t>
      </w:r>
      <w:r w:rsidR="00F0245C" w:rsidRPr="00C42373">
        <w:rPr>
          <w:lang w:val="nl-NL"/>
        </w:rPr>
        <w:t>Hierop diende het bedrijf</w:t>
      </w:r>
      <w:r w:rsidR="007C4098" w:rsidRPr="00C42373">
        <w:rPr>
          <w:lang w:val="nl-NL"/>
        </w:rPr>
        <w:t xml:space="preserve"> </w:t>
      </w:r>
      <w:r w:rsidR="00F0245C" w:rsidRPr="00C42373">
        <w:rPr>
          <w:lang w:val="nl-NL"/>
        </w:rPr>
        <w:t>een klacht in</w:t>
      </w:r>
      <w:r w:rsidR="007C4098" w:rsidRPr="00C42373">
        <w:rPr>
          <w:lang w:val="nl-NL"/>
        </w:rPr>
        <w:t xml:space="preserve"> </w:t>
      </w:r>
      <w:r w:rsidR="007C4098" w:rsidRPr="00C42373">
        <w:rPr>
          <w:lang w:val="nl-NL"/>
        </w:rPr>
        <w:lastRenderedPageBreak/>
        <w:t>bij de autoriteiten</w:t>
      </w:r>
      <w:r w:rsidR="00F0245C" w:rsidRPr="00C42373">
        <w:rPr>
          <w:lang w:val="nl-NL"/>
        </w:rPr>
        <w:t>.</w:t>
      </w:r>
      <w:r w:rsidR="00C42373" w:rsidRPr="00C42373">
        <w:rPr>
          <w:rStyle w:val="FootnoteReference"/>
          <w:lang w:val="nl-NL"/>
        </w:rPr>
        <w:t xml:space="preserve"> </w:t>
      </w:r>
      <w:r w:rsidR="00C42373" w:rsidRPr="00C42373">
        <w:rPr>
          <w:rStyle w:val="FootnoteReference"/>
          <w:lang w:val="nl-NL"/>
        </w:rPr>
        <w:footnoteReference w:id="4"/>
      </w:r>
      <w:r w:rsidR="00C42373" w:rsidRPr="00C42373">
        <w:rPr>
          <w:lang w:val="nl-NL"/>
        </w:rPr>
        <w:t xml:space="preserve"> </w:t>
      </w:r>
      <w:r w:rsidRPr="00C42373">
        <w:rPr>
          <w:lang w:val="nl-NL"/>
        </w:rPr>
        <w:t xml:space="preserve">Als reactie hierop arresteerden de autoriteiten willekeurig 72 </w:t>
      </w:r>
      <w:r w:rsidR="00B404D2" w:rsidRPr="00C42373">
        <w:rPr>
          <w:lang w:val="nl-NL"/>
        </w:rPr>
        <w:t>demonstranten.</w:t>
      </w:r>
      <w:r w:rsidRPr="00C42373">
        <w:rPr>
          <w:lang w:val="nl-NL"/>
        </w:rPr>
        <w:t xml:space="preserve"> </w:t>
      </w:r>
      <w:r w:rsidR="00D9366D">
        <w:rPr>
          <w:lang w:val="nl-NL"/>
        </w:rPr>
        <w:t xml:space="preserve">Van deze groep, zijn </w:t>
      </w:r>
      <w:r w:rsidRPr="00C42373">
        <w:rPr>
          <w:lang w:val="nl-NL"/>
        </w:rPr>
        <w:t xml:space="preserve">45 </w:t>
      </w:r>
      <w:r w:rsidR="00D9366D">
        <w:rPr>
          <w:lang w:val="nl-NL"/>
        </w:rPr>
        <w:t>personen</w:t>
      </w:r>
      <w:r w:rsidRPr="00C42373">
        <w:rPr>
          <w:lang w:val="nl-NL"/>
        </w:rPr>
        <w:t xml:space="preserve"> vrijgelaten na betaling van "aanzienlijke bedragen" die door de gerechtelijke autoriteiten waren geëist. De 27 activisten die in ​​de centrale gevangenis van Dilala werden vastgehouden kregen te maken met juridische stappen die door Kamoa Copper waren </w:t>
      </w:r>
      <w:r w:rsidR="00C42373" w:rsidRPr="00C42373">
        <w:rPr>
          <w:lang w:val="nl-NL"/>
        </w:rPr>
        <w:t>genomen</w:t>
      </w:r>
      <w:r w:rsidRPr="00C42373">
        <w:rPr>
          <w:lang w:val="nl-NL"/>
        </w:rPr>
        <w:t>.</w:t>
      </w:r>
      <w:r w:rsidRPr="00C42373">
        <w:rPr>
          <w:rStyle w:val="EndnoteReference"/>
          <w:lang w:val="nl-NL"/>
        </w:rPr>
        <w:endnoteReference w:id="21"/>
      </w:r>
      <w:r w:rsidRPr="00C42373">
        <w:rPr>
          <w:lang w:val="nl-NL"/>
        </w:rPr>
        <w:t xml:space="preserve"> Ze werden veroordeeld wegens lidmaatschap van een criminele organisatie, maar werden in hoger beroep op 3 september vrijgesproken van deze aanklacht.</w:t>
      </w:r>
      <w:r w:rsidR="00607C19" w:rsidRPr="00C42373">
        <w:rPr>
          <w:rStyle w:val="FootnoteReference"/>
          <w:lang w:val="nl-NL"/>
        </w:rPr>
        <w:t xml:space="preserve"> </w:t>
      </w:r>
      <w:r w:rsidR="00467990">
        <w:rPr>
          <w:lang w:val="nl-NL"/>
        </w:rPr>
        <w:t>Deze groep</w:t>
      </w:r>
      <w:r w:rsidRPr="00C42373">
        <w:rPr>
          <w:lang w:val="nl-NL"/>
        </w:rPr>
        <w:t xml:space="preserve"> </w:t>
      </w:r>
      <w:r w:rsidR="00DF0867">
        <w:rPr>
          <w:lang w:val="nl-NL"/>
        </w:rPr>
        <w:t xml:space="preserve">demonstranten </w:t>
      </w:r>
      <w:r w:rsidRPr="00C42373">
        <w:rPr>
          <w:lang w:val="nl-NL"/>
        </w:rPr>
        <w:t>werd echter veroordeeld tot twee maanden celstraf voor 'schade berokkend tijdens de demonstratie', een periode die ongeveer overeenkwam met hun tijd in voorarrest, wat leidde tot hun onmiddellijke vrijlating.</w:t>
      </w:r>
      <w:r w:rsidRPr="00C42373">
        <w:rPr>
          <w:rStyle w:val="EndnoteReference"/>
          <w:lang w:val="nl-NL"/>
        </w:rPr>
        <w:endnoteReference w:id="22"/>
      </w:r>
      <w:r w:rsidR="00D62E9C" w:rsidRPr="00C42373">
        <w:rPr>
          <w:rStyle w:val="FootnoteReference"/>
          <w:lang w:val="nl-NL"/>
        </w:rPr>
        <w:t xml:space="preserve"> </w:t>
      </w:r>
    </w:p>
    <w:p w14:paraId="2582D1EB" w14:textId="2B5AD868" w:rsidR="000425E2" w:rsidRPr="00C42373" w:rsidRDefault="000425E2" w:rsidP="003E131B">
      <w:pPr>
        <w:pStyle w:val="EGWHeading3"/>
        <w:rPr>
          <w:lang w:val="nl-NL"/>
        </w:rPr>
      </w:pPr>
      <w:r w:rsidRPr="00C42373">
        <w:rPr>
          <w:lang w:val="nl-NL"/>
        </w:rPr>
        <w:t>Onvoldoende betrekken van stakeholders</w:t>
      </w:r>
    </w:p>
    <w:p w14:paraId="2D286D04" w14:textId="1B99948E" w:rsidR="000425E2" w:rsidRPr="00C42373" w:rsidRDefault="000425E2" w:rsidP="000425E2">
      <w:pPr>
        <w:jc w:val="both"/>
        <w:rPr>
          <w:lang w:val="nl-NL"/>
        </w:rPr>
      </w:pPr>
      <w:r w:rsidRPr="00C42373">
        <w:rPr>
          <w:lang w:val="nl-NL"/>
        </w:rPr>
        <w:t>Bij de start van haar activiteiten richtte Kamoa Copper hervestigingscom</w:t>
      </w:r>
      <w:r w:rsidR="00CA4719">
        <w:rPr>
          <w:lang w:val="nl-NL"/>
        </w:rPr>
        <w:t>missies</w:t>
      </w:r>
      <w:r w:rsidRPr="00C42373">
        <w:rPr>
          <w:lang w:val="nl-NL"/>
        </w:rPr>
        <w:t xml:space="preserve"> op als mechanismen voor dialoog met belangrijke stakeholders, zoals omwonenden. Deze mechanismes maakten aanvankelijk open communicatie met de getroffen gemeenschappen mogelijk, met als doel zowel bestaande problemen met betrekking tot gedwongen verplaatsing te adresseren als nieuwe problemen wanneer deze zich voor zouden doen. Lokale gemeenschappen bevestigden dat Kamoa Copper hen vóór de grootschalige herplaatsing voldoende had geraadpleegd op een manier die de principes van inclusie, participatie en waardigheid respecteerde.</w:t>
      </w:r>
    </w:p>
    <w:p w14:paraId="02EAFF42" w14:textId="4C0110FD" w:rsidR="000425E2" w:rsidRPr="00C42373" w:rsidRDefault="00F06E01" w:rsidP="000425E2">
      <w:pPr>
        <w:jc w:val="both"/>
        <w:rPr>
          <w:lang w:val="nl-NL"/>
        </w:rPr>
      </w:pPr>
      <w:r>
        <w:rPr>
          <w:lang w:val="nl-NL"/>
        </w:rPr>
        <w:t>De</w:t>
      </w:r>
      <w:r w:rsidR="000425E2" w:rsidRPr="00C42373">
        <w:rPr>
          <w:lang w:val="nl-NL"/>
        </w:rPr>
        <w:t xml:space="preserve"> betekenisvolle betrokkenheid van belanghebbenden is echter aanzienlijk afgenomen. Hoewel Kamoa Copper beweert met gemeenschappen en lokale autoriteiten te communiceren, wijzen gegevens op beperkte en vaak symbolische initiatieven. Belangrijke elementen van een gelijkwaardige dialoog, zoals </w:t>
      </w:r>
      <w:r>
        <w:rPr>
          <w:lang w:val="nl-NL"/>
        </w:rPr>
        <w:t>gezam</w:t>
      </w:r>
      <w:r w:rsidR="006532B5">
        <w:rPr>
          <w:lang w:val="nl-NL"/>
        </w:rPr>
        <w:t xml:space="preserve">enlijke </w:t>
      </w:r>
      <w:r w:rsidR="000425E2" w:rsidRPr="00C42373">
        <w:rPr>
          <w:lang w:val="nl-NL"/>
        </w:rPr>
        <w:t>agendabepaling, vertegenwoordiging en de frequentie van overleg, zijn niet duidelijk gedefinieerd of consistent geïmplementeerd. Gemeenschappen melden dat overheidsinstanties vaak in het voordeel van het bedrijf handelen, wat eerlijke onderhandelingen en transparantie ondermijnt.</w:t>
      </w:r>
    </w:p>
    <w:p w14:paraId="0C4F416D" w14:textId="37565AD0" w:rsidR="000425E2" w:rsidRPr="00C42373" w:rsidRDefault="000425E2" w:rsidP="000425E2">
      <w:pPr>
        <w:jc w:val="both"/>
        <w:rPr>
          <w:lang w:val="nl-NL"/>
        </w:rPr>
      </w:pPr>
      <w:r w:rsidRPr="00C42373">
        <w:rPr>
          <w:lang w:val="nl-NL"/>
        </w:rPr>
        <w:t xml:space="preserve">Lokale leiders wijzen er ook op dat Kamoa </w:t>
      </w:r>
      <w:r w:rsidR="006532B5">
        <w:rPr>
          <w:lang w:val="nl-NL"/>
        </w:rPr>
        <w:t xml:space="preserve">Copper </w:t>
      </w:r>
      <w:r w:rsidRPr="00C42373">
        <w:rPr>
          <w:lang w:val="nl-NL"/>
        </w:rPr>
        <w:t xml:space="preserve">politieke invloed </w:t>
      </w:r>
      <w:r w:rsidR="00995627" w:rsidRPr="00C42373">
        <w:rPr>
          <w:lang w:val="nl-NL"/>
        </w:rPr>
        <w:t>gebruikt</w:t>
      </w:r>
      <w:r w:rsidRPr="00C42373">
        <w:rPr>
          <w:lang w:val="nl-NL"/>
        </w:rPr>
        <w:t xml:space="preserve"> om haar doelstellingen te bereiken. Zo heeft het bedrijf specifieke actoren uit het maatschappelijk middenveld aangesteld om de gemeenschappen als 'experts' te begeleiden, ook al staan ​​deze personen op de loonlijst van het bedrijf. Deze actoren vervullen dus een dubbele functie: ze fungeren als adviseur voor Kamoa en als gids voor de gemeenschappen.</w:t>
      </w:r>
      <w:r w:rsidRPr="00C42373">
        <w:rPr>
          <w:rStyle w:val="EndnoteReference"/>
          <w:lang w:val="nl-NL"/>
        </w:rPr>
        <w:endnoteReference w:id="23"/>
      </w:r>
    </w:p>
    <w:p w14:paraId="1ADB6C0D" w14:textId="722643AE" w:rsidR="000425E2" w:rsidRPr="00C42373" w:rsidRDefault="000425E2" w:rsidP="00290276">
      <w:pPr>
        <w:jc w:val="both"/>
        <w:rPr>
          <w:lang w:val="nl-NL"/>
        </w:rPr>
      </w:pPr>
      <w:r w:rsidRPr="00C42373">
        <w:rPr>
          <w:lang w:val="nl-NL"/>
        </w:rPr>
        <w:t>Gemeenschappen melden nu een volledig gebrek aan operationele dialoogmechanismen. Zoals een vrouw uit Muvunda het verwoordde: "Er bestaan ​​geen dialoogkaders meer; we zijn in de steek gelaten. We verhongeren en weten niet bij wie we met onze klachten terechtkunnen."</w:t>
      </w:r>
      <w:r w:rsidRPr="00C42373">
        <w:rPr>
          <w:rStyle w:val="EndnoteReference"/>
          <w:lang w:val="nl-NL"/>
        </w:rPr>
        <w:endnoteReference w:id="24"/>
      </w:r>
    </w:p>
    <w:p w14:paraId="6F605984" w14:textId="5CBCE001" w:rsidR="00757FD7" w:rsidRPr="00993B96" w:rsidRDefault="000425E2" w:rsidP="000E3489">
      <w:pPr>
        <w:pStyle w:val="EGWHeading2"/>
        <w:rPr>
          <w:lang w:val="nl-NL"/>
        </w:rPr>
      </w:pPr>
      <w:r w:rsidRPr="00993B96">
        <w:rPr>
          <w:lang w:val="nl-NL"/>
        </w:rPr>
        <w:t>Reactie</w:t>
      </w:r>
      <w:r w:rsidR="00900374" w:rsidRPr="00993B96">
        <w:rPr>
          <w:lang w:val="nl-NL"/>
        </w:rPr>
        <w:t>s</w:t>
      </w:r>
      <w:r w:rsidRPr="00993B96">
        <w:rPr>
          <w:lang w:val="nl-NL"/>
        </w:rPr>
        <w:t xml:space="preserve"> van Kamoa Copper</w:t>
      </w:r>
      <w:r w:rsidR="00900374" w:rsidRPr="00993B96">
        <w:rPr>
          <w:lang w:val="nl-NL"/>
        </w:rPr>
        <w:t>, Ivanhoe Mines en Zijin Mining Group</w:t>
      </w:r>
    </w:p>
    <w:p w14:paraId="187F2634" w14:textId="77777777" w:rsidR="000425E2" w:rsidRPr="00C42373" w:rsidRDefault="000425E2" w:rsidP="000425E2">
      <w:pPr>
        <w:rPr>
          <w:lang w:val="nl-NL"/>
        </w:rPr>
      </w:pPr>
      <w:r w:rsidRPr="00C42373">
        <w:rPr>
          <w:lang w:val="nl-NL"/>
        </w:rPr>
        <w:t>Als reactie beweert Kamoa Copper over een klachtenbeheermechanisme te beschikken, ondersteund door een digitaal datasysteem genaamd Isometrix. Het bedrijf verklaarde ook dat het de contactgegevens van zijn medewerkers voor gemeenschapsrelaties had gedeeld met de getroffen bevolking om directe communicatie mogelijk te maken. Ondanks deze beweringen kon het onderzoeksteam van de lokale ngo IBGDH de effectiviteit van de betrokkenheid van Kamoa Copper niet bevestigen. Mechanismen voor informatie-uitwisseling en klachtenafhandeling lijken inefficiënt en ontoegankelijk.</w:t>
      </w:r>
    </w:p>
    <w:p w14:paraId="2CF190CC" w14:textId="40DDA760" w:rsidR="005C067E" w:rsidRPr="00C42373" w:rsidRDefault="000425E2" w:rsidP="005C067E">
      <w:pPr>
        <w:rPr>
          <w:lang w:val="nl-NL"/>
        </w:rPr>
      </w:pPr>
      <w:r w:rsidRPr="00C42373">
        <w:rPr>
          <w:lang w:val="nl-NL"/>
        </w:rPr>
        <w:t xml:space="preserve">De auteurs hebben een concept van deze casestudy </w:t>
      </w:r>
      <w:r w:rsidR="003A24E8" w:rsidRPr="00C42373">
        <w:rPr>
          <w:lang w:val="nl-NL"/>
        </w:rPr>
        <w:t xml:space="preserve">op 3 september </w:t>
      </w:r>
      <w:r w:rsidRPr="00C42373">
        <w:rPr>
          <w:lang w:val="nl-NL"/>
        </w:rPr>
        <w:t>gedeeld met Ivanhoe Mines en</w:t>
      </w:r>
      <w:r w:rsidR="003A24E8" w:rsidRPr="00C42373">
        <w:rPr>
          <w:lang w:val="nl-NL"/>
        </w:rPr>
        <w:t xml:space="preserve"> op 29 augustus met</w:t>
      </w:r>
      <w:r w:rsidRPr="00C42373">
        <w:rPr>
          <w:lang w:val="nl-NL"/>
        </w:rPr>
        <w:t xml:space="preserve"> Zijin Mining Group, maar hebben geen reactie ontvangen.</w:t>
      </w:r>
      <w:r w:rsidR="005C067E" w:rsidRPr="00C42373">
        <w:rPr>
          <w:lang w:val="nl-NL"/>
        </w:rPr>
        <w:br w:type="page"/>
      </w:r>
    </w:p>
    <w:p w14:paraId="65770BED" w14:textId="77777777" w:rsidR="005C067E" w:rsidRPr="00C42373" w:rsidRDefault="005C067E" w:rsidP="005C067E">
      <w:pPr>
        <w:pStyle w:val="EGWHeading1Chapternumber"/>
        <w:rPr>
          <w:lang w:val="nl-NL"/>
        </w:rPr>
      </w:pPr>
    </w:p>
    <w:p w14:paraId="23116FE5" w14:textId="4D054243" w:rsidR="005C067E" w:rsidRPr="00C42373" w:rsidRDefault="005E0E84" w:rsidP="005C067E">
      <w:pPr>
        <w:pStyle w:val="EGWHeading1"/>
        <w:rPr>
          <w:lang w:val="nl-NL"/>
        </w:rPr>
      </w:pPr>
      <w:r w:rsidRPr="00C42373">
        <w:rPr>
          <w:lang w:val="nl-NL"/>
        </w:rPr>
        <w:t>M</w:t>
      </w:r>
      <w:r w:rsidR="005C067E" w:rsidRPr="00C42373">
        <w:rPr>
          <w:lang w:val="nl-NL"/>
        </w:rPr>
        <w:t>ethod</w:t>
      </w:r>
      <w:r w:rsidRPr="00C42373">
        <w:rPr>
          <w:lang w:val="nl-NL"/>
        </w:rPr>
        <w:t>e en resultaten</w:t>
      </w:r>
    </w:p>
    <w:p w14:paraId="32BA5BA6" w14:textId="77777777" w:rsidR="005C067E" w:rsidRPr="00993B96" w:rsidRDefault="005C067E" w:rsidP="0091321A">
      <w:pPr>
        <w:pStyle w:val="EGWHeading2"/>
        <w:rPr>
          <w:lang w:val="nl-NL"/>
        </w:rPr>
      </w:pPr>
      <w:r w:rsidRPr="00993B96">
        <w:rPr>
          <w:lang w:val="nl-NL"/>
        </w:rPr>
        <w:t>Eerdere publicaties over de Kamoa-kopermijn</w:t>
      </w:r>
    </w:p>
    <w:p w14:paraId="24C78DB4" w14:textId="77777777" w:rsidR="001E46F1" w:rsidRDefault="005C067E" w:rsidP="005C067E">
      <w:pPr>
        <w:pStyle w:val="EGWIntro"/>
        <w:rPr>
          <w:b w:val="0"/>
          <w:bCs w:val="0"/>
          <w:sz w:val="22"/>
          <w:szCs w:val="22"/>
          <w:lang w:val="nl-NL"/>
        </w:rPr>
      </w:pPr>
      <w:r w:rsidRPr="00C42373">
        <w:rPr>
          <w:b w:val="0"/>
          <w:bCs w:val="0"/>
          <w:sz w:val="22"/>
          <w:szCs w:val="22"/>
          <w:lang w:val="nl-NL"/>
        </w:rPr>
        <w:t>Het onderzoek naar de relatie tussen financiële instellingen actief op de Nederlandse markt en de Kamoa-kopermijn bouwt voort op reeds bestaande publicaties. De prominentste publicatie is die van Amnesty International uit 2023.</w:t>
      </w:r>
      <w:r w:rsidRPr="00044C2D">
        <w:rPr>
          <w:rStyle w:val="EndnoteReference"/>
          <w:b w:val="0"/>
          <w:bCs w:val="0"/>
          <w:lang w:val="nl-NL"/>
        </w:rPr>
        <w:endnoteReference w:id="25"/>
      </w:r>
      <w:r w:rsidRPr="00C42373">
        <w:rPr>
          <w:lang w:val="nl-NL"/>
        </w:rPr>
        <w:t xml:space="preserve"> </w:t>
      </w:r>
      <w:r w:rsidRPr="00C42373">
        <w:rPr>
          <w:b w:val="0"/>
          <w:bCs w:val="0"/>
          <w:sz w:val="22"/>
          <w:szCs w:val="22"/>
          <w:lang w:val="nl-NL"/>
        </w:rPr>
        <w:t>Deze publicatie bevat een beschrijving van de Kamoa-kopermijn en de misstanden die daar plaatsvinden</w:t>
      </w:r>
      <w:r w:rsidR="00CD198D">
        <w:rPr>
          <w:b w:val="0"/>
          <w:bCs w:val="0"/>
          <w:sz w:val="22"/>
          <w:szCs w:val="22"/>
          <w:lang w:val="nl-NL"/>
        </w:rPr>
        <w:t>, samengesteld door lokale ngo IBGDH</w:t>
      </w:r>
      <w:r w:rsidR="00BE126B">
        <w:rPr>
          <w:b w:val="0"/>
          <w:bCs w:val="0"/>
          <w:sz w:val="22"/>
          <w:szCs w:val="22"/>
          <w:lang w:val="nl-NL"/>
        </w:rPr>
        <w:t>.</w:t>
      </w:r>
      <w:r w:rsidR="00F75EBA">
        <w:rPr>
          <w:b w:val="0"/>
          <w:bCs w:val="0"/>
          <w:sz w:val="22"/>
          <w:szCs w:val="22"/>
          <w:lang w:val="nl-NL"/>
        </w:rPr>
        <w:t xml:space="preserve"> </w:t>
      </w:r>
      <w:r w:rsidR="00F75EBA" w:rsidRPr="00F75EBA">
        <w:rPr>
          <w:b w:val="0"/>
          <w:bCs w:val="0"/>
          <w:sz w:val="22"/>
          <w:szCs w:val="22"/>
          <w:lang w:val="nl-NL"/>
        </w:rPr>
        <w:t>Deze l</w:t>
      </w:r>
      <w:r w:rsidR="00F75EBA">
        <w:rPr>
          <w:b w:val="0"/>
          <w:bCs w:val="0"/>
          <w:sz w:val="22"/>
          <w:szCs w:val="22"/>
          <w:lang w:val="nl-NL"/>
        </w:rPr>
        <w:t xml:space="preserve">okale ngo </w:t>
      </w:r>
      <w:r w:rsidR="00C00706">
        <w:rPr>
          <w:b w:val="0"/>
          <w:bCs w:val="0"/>
          <w:sz w:val="22"/>
          <w:szCs w:val="22"/>
          <w:lang w:val="nl-NL"/>
        </w:rPr>
        <w:t>is</w:t>
      </w:r>
      <w:r w:rsidR="00F75EBA">
        <w:rPr>
          <w:b w:val="0"/>
          <w:bCs w:val="0"/>
          <w:sz w:val="22"/>
          <w:szCs w:val="22"/>
          <w:lang w:val="nl-NL"/>
        </w:rPr>
        <w:t xml:space="preserve"> </w:t>
      </w:r>
      <w:r w:rsidR="00C00706">
        <w:rPr>
          <w:b w:val="0"/>
          <w:bCs w:val="0"/>
          <w:sz w:val="22"/>
          <w:szCs w:val="22"/>
          <w:lang w:val="nl-NL"/>
        </w:rPr>
        <w:t>sinds de publicatie uit 2023</w:t>
      </w:r>
      <w:r w:rsidR="00CD198D" w:rsidRPr="00F75EBA">
        <w:rPr>
          <w:b w:val="0"/>
          <w:bCs w:val="0"/>
          <w:sz w:val="22"/>
          <w:szCs w:val="22"/>
          <w:lang w:val="nl-NL"/>
        </w:rPr>
        <w:t xml:space="preserve"> </w:t>
      </w:r>
      <w:r w:rsidR="00C00706">
        <w:rPr>
          <w:b w:val="0"/>
          <w:bCs w:val="0"/>
          <w:sz w:val="22"/>
          <w:szCs w:val="22"/>
          <w:lang w:val="nl-NL"/>
        </w:rPr>
        <w:t xml:space="preserve">de situatie en de misstanden rondom de Kamoa-mijn blijven volgen. </w:t>
      </w:r>
      <w:r w:rsidR="00B06B88" w:rsidRPr="00B06B88">
        <w:rPr>
          <w:b w:val="0"/>
          <w:bCs w:val="0"/>
          <w:sz w:val="22"/>
          <w:szCs w:val="22"/>
          <w:lang w:val="nl-NL"/>
        </w:rPr>
        <w:t>De actualisatie</w:t>
      </w:r>
      <w:r w:rsidR="00B06B88">
        <w:rPr>
          <w:b w:val="0"/>
          <w:bCs w:val="0"/>
          <w:sz w:val="22"/>
          <w:szCs w:val="22"/>
          <w:lang w:val="nl-NL"/>
        </w:rPr>
        <w:t xml:space="preserve"> van de Kamoa-casus is gepubliceerd in </w:t>
      </w:r>
      <w:r w:rsidR="001E46F1">
        <w:rPr>
          <w:b w:val="0"/>
          <w:bCs w:val="0"/>
          <w:sz w:val="22"/>
          <w:szCs w:val="22"/>
          <w:lang w:val="nl-NL"/>
        </w:rPr>
        <w:t xml:space="preserve">dit Eerlijke Geldwijzer-onderzoek. </w:t>
      </w:r>
    </w:p>
    <w:p w14:paraId="325ACFBD" w14:textId="4CE5BE6F" w:rsidR="005C067E" w:rsidRPr="00C42373" w:rsidRDefault="005C067E" w:rsidP="005C067E">
      <w:pPr>
        <w:pStyle w:val="EGWIntro"/>
        <w:rPr>
          <w:b w:val="0"/>
          <w:bCs w:val="0"/>
          <w:sz w:val="22"/>
          <w:szCs w:val="22"/>
          <w:lang w:val="nl-NL"/>
        </w:rPr>
      </w:pPr>
      <w:proofErr w:type="spellStart"/>
      <w:r w:rsidRPr="001E46F1">
        <w:rPr>
          <w:b w:val="0"/>
          <w:bCs w:val="0"/>
          <w:sz w:val="22"/>
          <w:szCs w:val="22"/>
          <w:lang w:val="en-US"/>
        </w:rPr>
        <w:t>Daarnaast</w:t>
      </w:r>
      <w:proofErr w:type="spellEnd"/>
      <w:r w:rsidRPr="001E46F1">
        <w:rPr>
          <w:b w:val="0"/>
          <w:bCs w:val="0"/>
          <w:sz w:val="22"/>
          <w:szCs w:val="22"/>
          <w:lang w:val="en-US"/>
        </w:rPr>
        <w:t xml:space="preserve"> </w:t>
      </w:r>
      <w:proofErr w:type="spellStart"/>
      <w:r w:rsidRPr="001E46F1">
        <w:rPr>
          <w:b w:val="0"/>
          <w:bCs w:val="0"/>
          <w:sz w:val="22"/>
          <w:szCs w:val="22"/>
          <w:lang w:val="en-US"/>
        </w:rPr>
        <w:t>publiceerde</w:t>
      </w:r>
      <w:proofErr w:type="spellEnd"/>
      <w:r w:rsidRPr="001E46F1">
        <w:rPr>
          <w:b w:val="0"/>
          <w:bCs w:val="0"/>
          <w:sz w:val="22"/>
          <w:szCs w:val="22"/>
          <w:lang w:val="en-US"/>
        </w:rPr>
        <w:t xml:space="preserve"> Fair Finance International in </w:t>
      </w:r>
      <w:proofErr w:type="spellStart"/>
      <w:r w:rsidRPr="001E46F1">
        <w:rPr>
          <w:b w:val="0"/>
          <w:bCs w:val="0"/>
          <w:sz w:val="22"/>
          <w:szCs w:val="22"/>
          <w:lang w:val="en-US"/>
        </w:rPr>
        <w:t>november</w:t>
      </w:r>
      <w:proofErr w:type="spellEnd"/>
      <w:r w:rsidRPr="001E46F1">
        <w:rPr>
          <w:b w:val="0"/>
          <w:bCs w:val="0"/>
          <w:sz w:val="22"/>
          <w:szCs w:val="22"/>
          <w:lang w:val="en-US"/>
        </w:rPr>
        <w:t xml:space="preserve"> 2025 het rapport </w:t>
      </w:r>
      <w:r w:rsidRPr="001E46F1">
        <w:rPr>
          <w:b w:val="0"/>
          <w:bCs w:val="0"/>
          <w:i/>
          <w:iCs/>
          <w:sz w:val="22"/>
          <w:szCs w:val="22"/>
          <w:lang w:val="en-US"/>
        </w:rPr>
        <w:t>Financing Critical Minerals but Failing Critical Safeguards</w:t>
      </w:r>
      <w:r w:rsidRPr="001E46F1">
        <w:rPr>
          <w:b w:val="0"/>
          <w:bCs w:val="0"/>
          <w:sz w:val="22"/>
          <w:szCs w:val="22"/>
          <w:lang w:val="en-US"/>
        </w:rPr>
        <w:t>.</w:t>
      </w:r>
      <w:r w:rsidRPr="00BE126B">
        <w:rPr>
          <w:rStyle w:val="EndnoteReference"/>
          <w:b w:val="0"/>
          <w:bCs w:val="0"/>
          <w:lang w:val="nl-NL"/>
        </w:rPr>
        <w:endnoteReference w:id="26"/>
      </w:r>
      <w:r w:rsidRPr="001E46F1">
        <w:rPr>
          <w:b w:val="0"/>
          <w:bCs w:val="0"/>
          <w:sz w:val="22"/>
          <w:szCs w:val="22"/>
          <w:lang w:val="en-US"/>
        </w:rPr>
        <w:t xml:space="preserve"> </w:t>
      </w:r>
      <w:r w:rsidRPr="00C42373">
        <w:rPr>
          <w:b w:val="0"/>
          <w:bCs w:val="0"/>
          <w:sz w:val="22"/>
          <w:szCs w:val="22"/>
          <w:lang w:val="nl-NL"/>
        </w:rPr>
        <w:t xml:space="preserve">Dit rapport onderzocht het beleid van de acht grootste Europese investeerders in een selectie van vijf aardmetalen, waaronder koper, en publiceerde de casus </w:t>
      </w:r>
      <w:proofErr w:type="gramStart"/>
      <w:r w:rsidRPr="00C42373">
        <w:rPr>
          <w:b w:val="0"/>
          <w:bCs w:val="0"/>
          <w:sz w:val="22"/>
          <w:szCs w:val="22"/>
          <w:lang w:val="nl-NL"/>
        </w:rPr>
        <w:t>van</w:t>
      </w:r>
      <w:proofErr w:type="gramEnd"/>
      <w:r w:rsidRPr="00C42373">
        <w:rPr>
          <w:b w:val="0"/>
          <w:bCs w:val="0"/>
          <w:sz w:val="22"/>
          <w:szCs w:val="22"/>
          <w:lang w:val="nl-NL"/>
        </w:rPr>
        <w:t xml:space="preserve"> de Kamoa-kopermijn in het Engels.</w:t>
      </w:r>
    </w:p>
    <w:p w14:paraId="60E056BB" w14:textId="30F3C950" w:rsidR="005C067E" w:rsidRPr="00C42373" w:rsidRDefault="005C067E" w:rsidP="005C067E">
      <w:pPr>
        <w:pStyle w:val="EGWIntro"/>
        <w:rPr>
          <w:b w:val="0"/>
          <w:bCs w:val="0"/>
          <w:sz w:val="22"/>
          <w:szCs w:val="22"/>
          <w:lang w:val="nl-NL"/>
        </w:rPr>
      </w:pPr>
      <w:r w:rsidRPr="00C42373">
        <w:rPr>
          <w:b w:val="0"/>
          <w:bCs w:val="0"/>
          <w:i/>
          <w:iCs/>
          <w:sz w:val="22"/>
          <w:szCs w:val="22"/>
          <w:lang w:val="nl-NL"/>
        </w:rPr>
        <w:t xml:space="preserve">De </w:t>
      </w:r>
      <w:r w:rsidR="001E46F1">
        <w:rPr>
          <w:b w:val="0"/>
          <w:bCs w:val="0"/>
          <w:i/>
          <w:iCs/>
          <w:sz w:val="22"/>
          <w:szCs w:val="22"/>
          <w:lang w:val="nl-NL"/>
        </w:rPr>
        <w:t>ho</w:t>
      </w:r>
      <w:r w:rsidR="003425B4">
        <w:rPr>
          <w:b w:val="0"/>
          <w:bCs w:val="0"/>
          <w:i/>
          <w:iCs/>
          <w:sz w:val="22"/>
          <w:szCs w:val="22"/>
          <w:lang w:val="nl-NL"/>
        </w:rPr>
        <w:t>g</w:t>
      </w:r>
      <w:r w:rsidR="001E46F1">
        <w:rPr>
          <w:b w:val="0"/>
          <w:bCs w:val="0"/>
          <w:i/>
          <w:iCs/>
          <w:sz w:val="22"/>
          <w:szCs w:val="22"/>
          <w:lang w:val="nl-NL"/>
        </w:rPr>
        <w:t xml:space="preserve">e </w:t>
      </w:r>
      <w:r w:rsidRPr="00C42373">
        <w:rPr>
          <w:b w:val="0"/>
          <w:bCs w:val="0"/>
          <w:i/>
          <w:iCs/>
          <w:sz w:val="22"/>
          <w:szCs w:val="22"/>
          <w:lang w:val="nl-NL"/>
        </w:rPr>
        <w:t>prijs van koper</w:t>
      </w:r>
      <w:r w:rsidR="001E46F1">
        <w:rPr>
          <w:b w:val="0"/>
          <w:bCs w:val="0"/>
          <w:i/>
          <w:iCs/>
          <w:sz w:val="22"/>
          <w:szCs w:val="22"/>
          <w:lang w:val="nl-NL"/>
        </w:rPr>
        <w:t xml:space="preserve"> uit Congo</w:t>
      </w:r>
      <w:r w:rsidRPr="00C42373">
        <w:rPr>
          <w:b w:val="0"/>
          <w:bCs w:val="0"/>
          <w:i/>
          <w:iCs/>
          <w:sz w:val="22"/>
          <w:szCs w:val="22"/>
          <w:lang w:val="nl-NL"/>
        </w:rPr>
        <w:t xml:space="preserve"> </w:t>
      </w:r>
      <w:r w:rsidRPr="00C42373">
        <w:rPr>
          <w:b w:val="0"/>
          <w:bCs w:val="0"/>
          <w:sz w:val="22"/>
          <w:szCs w:val="22"/>
          <w:lang w:val="nl-NL"/>
        </w:rPr>
        <w:t xml:space="preserve">publiceert de casus van de Kamoa-kopermijn voor het eerst in het Nederlands en doet een specifiek onderzoek naar de links met financiële instellingen actief in Nederland. </w:t>
      </w:r>
    </w:p>
    <w:p w14:paraId="196C324E" w14:textId="77777777" w:rsidR="005C067E" w:rsidRPr="0091321A" w:rsidRDefault="005C067E" w:rsidP="0091321A">
      <w:pPr>
        <w:pStyle w:val="EGWHeading2"/>
      </w:pPr>
      <w:proofErr w:type="spellStart"/>
      <w:r w:rsidRPr="0091321A">
        <w:t>Financiële</w:t>
      </w:r>
      <w:proofErr w:type="spellEnd"/>
      <w:r w:rsidRPr="0091321A">
        <w:t xml:space="preserve"> analyse</w:t>
      </w:r>
    </w:p>
    <w:p w14:paraId="66D2A32A" w14:textId="34C6C27F" w:rsidR="00C42373" w:rsidRPr="00C42373" w:rsidRDefault="005C067E" w:rsidP="005C067E">
      <w:pPr>
        <w:rPr>
          <w:lang w:val="nl-NL"/>
        </w:rPr>
      </w:pPr>
      <w:r w:rsidRPr="00C42373">
        <w:rPr>
          <w:lang w:val="nl-NL"/>
        </w:rPr>
        <w:t>Voor de financiële analyse zijn alle instellingen die zijn opgenomen in de Eerlijke Bank-, Pensioen- of Verzekeringswijzer onderzocht. Onderzoeksbureau Profundo heeft leningen aan en beleggingen in de Ivanhoe Mines en Zijin Mining Group in kaart gebracht. Voor de pensioenfondsen heeft de Eerlijke Geldwijzer gebruik gemaakt van de meest actuele informatie gepubliceerd door de pensioenfondsen zelf.</w:t>
      </w:r>
      <w:r w:rsidR="001C0803" w:rsidRPr="00C42373">
        <w:rPr>
          <w:lang w:val="nl-NL"/>
        </w:rPr>
        <w:t xml:space="preserve"> Het resultaat </w:t>
      </w:r>
      <w:r w:rsidR="002014EE" w:rsidRPr="00C42373">
        <w:rPr>
          <w:lang w:val="nl-NL"/>
        </w:rPr>
        <w:t>is</w:t>
      </w:r>
      <w:r w:rsidR="001C0803" w:rsidRPr="00C42373">
        <w:rPr>
          <w:lang w:val="nl-NL"/>
        </w:rPr>
        <w:t xml:space="preserve"> dat </w:t>
      </w:r>
      <w:r w:rsidR="00B73691" w:rsidRPr="00C42373">
        <w:rPr>
          <w:lang w:val="nl-NL"/>
        </w:rPr>
        <w:t>v</w:t>
      </w:r>
      <w:r w:rsidRPr="00C42373">
        <w:rPr>
          <w:lang w:val="nl-NL"/>
        </w:rPr>
        <w:t>oor zeven financiële instellingen links</w:t>
      </w:r>
      <w:r w:rsidR="002014EE" w:rsidRPr="00C42373">
        <w:rPr>
          <w:lang w:val="nl-NL"/>
        </w:rPr>
        <w:t xml:space="preserve"> zijn gevonden</w:t>
      </w:r>
      <w:r w:rsidRPr="00C42373">
        <w:rPr>
          <w:lang w:val="nl-NL"/>
        </w:rPr>
        <w:t xml:space="preserve"> met Ivanhoe Mines en/of Zijin Mining Group</w:t>
      </w:r>
      <w:r w:rsidR="00F64655" w:rsidRPr="00C42373">
        <w:rPr>
          <w:lang w:val="nl-NL"/>
        </w:rPr>
        <w:t>,</w:t>
      </w:r>
      <w:r w:rsidRPr="00C42373">
        <w:rPr>
          <w:lang w:val="nl-NL"/>
        </w:rPr>
        <w:t xml:space="preserve"> voor een totaal van 306.074.196 euro</w:t>
      </w:r>
      <w:r w:rsidR="00FE4FD3" w:rsidRPr="00C42373">
        <w:rPr>
          <w:lang w:val="nl-NL"/>
        </w:rPr>
        <w:t xml:space="preserve"> (zie tabel 1).</w:t>
      </w:r>
      <w:r w:rsidR="00F64655" w:rsidRPr="00C42373">
        <w:rPr>
          <w:lang w:val="nl-NL"/>
        </w:rPr>
        <w:t xml:space="preserve"> Dit volledige bedrag </w:t>
      </w:r>
      <w:r w:rsidR="002014EE" w:rsidRPr="00C42373">
        <w:rPr>
          <w:lang w:val="nl-NL"/>
        </w:rPr>
        <w:t>bestaat uit</w:t>
      </w:r>
      <w:r w:rsidR="00F64655" w:rsidRPr="00C42373">
        <w:rPr>
          <w:lang w:val="nl-NL"/>
        </w:rPr>
        <w:t xml:space="preserve"> aandelen</w:t>
      </w:r>
      <w:r w:rsidR="00A504C7" w:rsidRPr="00C42373">
        <w:rPr>
          <w:lang w:val="nl-NL"/>
        </w:rPr>
        <w:t xml:space="preserve"> en </w:t>
      </w:r>
      <w:r w:rsidR="00C22178">
        <w:rPr>
          <w:lang w:val="nl-NL"/>
        </w:rPr>
        <w:t>bedrijfs</w:t>
      </w:r>
      <w:r w:rsidR="00A504C7" w:rsidRPr="00C42373">
        <w:rPr>
          <w:lang w:val="nl-NL"/>
        </w:rPr>
        <w:t>obligaties</w:t>
      </w:r>
      <w:r w:rsidR="00F64655" w:rsidRPr="00C42373">
        <w:rPr>
          <w:lang w:val="nl-NL"/>
        </w:rPr>
        <w:t xml:space="preserve">. </w:t>
      </w:r>
      <w:r w:rsidR="002014EE" w:rsidRPr="00C42373">
        <w:rPr>
          <w:lang w:val="nl-NL"/>
        </w:rPr>
        <w:t xml:space="preserve">Er zijn geen relevante links gevonden </w:t>
      </w:r>
      <w:r w:rsidR="00314A1A" w:rsidRPr="00C42373">
        <w:rPr>
          <w:lang w:val="nl-NL"/>
        </w:rPr>
        <w:t>als het gaat om leningen.</w:t>
      </w:r>
    </w:p>
    <w:p w14:paraId="6CAF6345" w14:textId="77777777" w:rsidR="00C42373" w:rsidRPr="00C42373" w:rsidRDefault="00C42373">
      <w:pPr>
        <w:spacing w:before="0" w:after="0"/>
        <w:rPr>
          <w:lang w:val="nl-NL"/>
        </w:rPr>
      </w:pPr>
      <w:r w:rsidRPr="00C42373">
        <w:rPr>
          <w:lang w:val="nl-NL"/>
        </w:rPr>
        <w:br w:type="page"/>
      </w:r>
    </w:p>
    <w:p w14:paraId="04B7DBBE" w14:textId="77777777" w:rsidR="005C067E" w:rsidRPr="00C42373" w:rsidRDefault="005C067E" w:rsidP="005C067E">
      <w:pPr>
        <w:rPr>
          <w:lang w:val="nl-NL"/>
        </w:rPr>
      </w:pPr>
    </w:p>
    <w:p w14:paraId="2579CA74" w14:textId="77777777" w:rsidR="005C067E" w:rsidRPr="00C42373" w:rsidRDefault="005C067E" w:rsidP="005C067E">
      <w:pPr>
        <w:pStyle w:val="EGWHeadingTables"/>
        <w:numPr>
          <w:ilvl w:val="0"/>
          <w:numId w:val="0"/>
        </w:numPr>
        <w:rPr>
          <w:lang w:val="nl-NL"/>
        </w:rPr>
      </w:pPr>
      <w:r w:rsidRPr="00C42373">
        <w:rPr>
          <w:lang w:val="nl-NL"/>
        </w:rPr>
        <w:t>Tabel 1: Financiële instellingen met beleggingen in Ivanhoe Mines en/of Zijin Mining Group (in euro)</w:t>
      </w:r>
      <w:r w:rsidRPr="00C42373">
        <w:rPr>
          <w:rStyle w:val="EndnoteReference"/>
          <w:lang w:val="nl-NL"/>
        </w:rPr>
        <w:endnoteReference w:id="27"/>
      </w:r>
    </w:p>
    <w:tbl>
      <w:tblPr>
        <w:tblStyle w:val="TableGrid"/>
        <w:tblW w:w="0" w:type="auto"/>
        <w:tblLook w:val="04A0" w:firstRow="1" w:lastRow="0" w:firstColumn="1" w:lastColumn="0" w:noHBand="0" w:noVBand="1"/>
      </w:tblPr>
      <w:tblGrid>
        <w:gridCol w:w="2880"/>
        <w:gridCol w:w="1620"/>
        <w:gridCol w:w="1710"/>
        <w:gridCol w:w="1562"/>
      </w:tblGrid>
      <w:tr w:rsidR="005C067E" w:rsidRPr="00C42373" w14:paraId="5CDF085C" w14:textId="77777777" w:rsidTr="006801B6">
        <w:trPr>
          <w:cnfStyle w:val="100000000000" w:firstRow="1" w:lastRow="0" w:firstColumn="0" w:lastColumn="0" w:oddVBand="0" w:evenVBand="0" w:oddHBand="0" w:evenHBand="0" w:firstRowFirstColumn="0" w:firstRowLastColumn="0" w:lastRowFirstColumn="0" w:lastRowLastColumn="0"/>
          <w:trHeight w:val="329"/>
        </w:trPr>
        <w:tc>
          <w:tcPr>
            <w:tcW w:w="2880" w:type="dxa"/>
          </w:tcPr>
          <w:p w14:paraId="4C5889AC" w14:textId="08C9BB0D" w:rsidR="005C067E" w:rsidRPr="00C42373" w:rsidRDefault="005C067E" w:rsidP="006801B6">
            <w:pPr>
              <w:rPr>
                <w:lang w:val="nl-NL"/>
              </w:rPr>
            </w:pPr>
            <w:r w:rsidRPr="00C42373">
              <w:rPr>
                <w:lang w:val="nl-NL"/>
              </w:rPr>
              <w:t>Financiële instelling</w:t>
            </w:r>
            <w:r w:rsidR="007A0A16" w:rsidRPr="00C42373">
              <w:rPr>
                <w:rStyle w:val="FootnoteReference"/>
                <w:lang w:val="nl-NL"/>
              </w:rPr>
              <w:footnoteReference w:id="5"/>
            </w:r>
          </w:p>
        </w:tc>
        <w:tc>
          <w:tcPr>
            <w:tcW w:w="1620" w:type="dxa"/>
          </w:tcPr>
          <w:p w14:paraId="7BA67AE6" w14:textId="77777777" w:rsidR="005C067E" w:rsidRPr="00C42373" w:rsidRDefault="005C067E" w:rsidP="006801B6">
            <w:pPr>
              <w:rPr>
                <w:lang w:val="nl-NL"/>
              </w:rPr>
            </w:pPr>
            <w:r w:rsidRPr="00C42373">
              <w:rPr>
                <w:lang w:val="nl-NL"/>
              </w:rPr>
              <w:t>Ivanhoe Mines</w:t>
            </w:r>
          </w:p>
        </w:tc>
        <w:tc>
          <w:tcPr>
            <w:tcW w:w="1710" w:type="dxa"/>
          </w:tcPr>
          <w:p w14:paraId="3CC5CD94" w14:textId="77777777" w:rsidR="005C067E" w:rsidRPr="00C42373" w:rsidRDefault="005C067E" w:rsidP="006801B6">
            <w:pPr>
              <w:rPr>
                <w:lang w:val="nl-NL"/>
              </w:rPr>
            </w:pPr>
            <w:r w:rsidRPr="00C42373">
              <w:rPr>
                <w:lang w:val="nl-NL"/>
              </w:rPr>
              <w:t>Zijin Mining Group</w:t>
            </w:r>
          </w:p>
        </w:tc>
        <w:tc>
          <w:tcPr>
            <w:tcW w:w="1562" w:type="dxa"/>
          </w:tcPr>
          <w:p w14:paraId="0B6C82B5" w14:textId="77777777" w:rsidR="005C067E" w:rsidRPr="00C42373" w:rsidRDefault="005C067E" w:rsidP="006801B6">
            <w:pPr>
              <w:rPr>
                <w:lang w:val="nl-NL"/>
              </w:rPr>
            </w:pPr>
            <w:r w:rsidRPr="00C42373">
              <w:rPr>
                <w:lang w:val="nl-NL"/>
              </w:rPr>
              <w:t>Totaal</w:t>
            </w:r>
          </w:p>
        </w:tc>
      </w:tr>
      <w:tr w:rsidR="005C067E" w:rsidRPr="00C42373" w14:paraId="57176D3F" w14:textId="77777777" w:rsidTr="006801B6">
        <w:trPr>
          <w:trHeight w:val="928"/>
        </w:trPr>
        <w:tc>
          <w:tcPr>
            <w:tcW w:w="2880" w:type="dxa"/>
          </w:tcPr>
          <w:p w14:paraId="73508A82" w14:textId="77777777" w:rsidR="005C067E" w:rsidRPr="00C42373" w:rsidRDefault="005C067E" w:rsidP="006801B6">
            <w:pPr>
              <w:rPr>
                <w:lang w:val="nl-NL"/>
              </w:rPr>
            </w:pPr>
            <w:r w:rsidRPr="00C42373">
              <w:rPr>
                <w:lang w:val="nl-NL"/>
              </w:rPr>
              <w:t>Allianz</w:t>
            </w:r>
          </w:p>
          <w:p w14:paraId="73DE9C4D" w14:textId="77777777" w:rsidR="005C067E" w:rsidRPr="00C42373" w:rsidRDefault="005C067E" w:rsidP="006801B6">
            <w:pPr>
              <w:rPr>
                <w:lang w:val="nl-NL"/>
              </w:rPr>
            </w:pPr>
            <w:r w:rsidRPr="00C42373">
              <w:rPr>
                <w:lang w:val="nl-NL"/>
              </w:rPr>
              <w:t>ABP</w:t>
            </w:r>
          </w:p>
          <w:p w14:paraId="3E1F3893" w14:textId="77777777" w:rsidR="005C067E" w:rsidRPr="00C42373" w:rsidRDefault="005C067E" w:rsidP="006801B6">
            <w:pPr>
              <w:rPr>
                <w:lang w:val="nl-NL"/>
              </w:rPr>
            </w:pPr>
            <w:r w:rsidRPr="00C42373">
              <w:rPr>
                <w:lang w:val="nl-NL"/>
              </w:rPr>
              <w:t>Pensioenfonds Detailhandel</w:t>
            </w:r>
          </w:p>
          <w:p w14:paraId="4ECA29F5" w14:textId="77777777" w:rsidR="005C067E" w:rsidRPr="00C42373" w:rsidRDefault="005C067E" w:rsidP="006801B6">
            <w:pPr>
              <w:rPr>
                <w:lang w:val="nl-NL"/>
              </w:rPr>
            </w:pPr>
            <w:r w:rsidRPr="00C42373">
              <w:rPr>
                <w:lang w:val="nl-NL"/>
              </w:rPr>
              <w:t>Pensioenfonds Vervoer</w:t>
            </w:r>
          </w:p>
          <w:p w14:paraId="3CB86B94" w14:textId="77777777" w:rsidR="005C067E" w:rsidRPr="00C42373" w:rsidRDefault="005C067E" w:rsidP="006801B6">
            <w:pPr>
              <w:rPr>
                <w:lang w:val="nl-NL"/>
              </w:rPr>
            </w:pPr>
            <w:r w:rsidRPr="00C42373">
              <w:rPr>
                <w:lang w:val="nl-NL"/>
              </w:rPr>
              <w:t>BpfBOUW</w:t>
            </w:r>
          </w:p>
          <w:p w14:paraId="64886F9D" w14:textId="77777777" w:rsidR="00CA79E2" w:rsidRPr="00C42373" w:rsidRDefault="005C067E" w:rsidP="006801B6">
            <w:pPr>
              <w:rPr>
                <w:lang w:val="nl-NL"/>
              </w:rPr>
            </w:pPr>
            <w:r w:rsidRPr="00C42373">
              <w:rPr>
                <w:lang w:val="nl-NL"/>
              </w:rPr>
              <w:t>ABN AMRO</w:t>
            </w:r>
          </w:p>
          <w:p w14:paraId="60E95D8A" w14:textId="6800FBD3" w:rsidR="005C067E" w:rsidRPr="00C42373" w:rsidRDefault="005C067E" w:rsidP="006801B6">
            <w:pPr>
              <w:rPr>
                <w:lang w:val="nl-NL"/>
              </w:rPr>
            </w:pPr>
            <w:r w:rsidRPr="00C42373">
              <w:rPr>
                <w:lang w:val="nl-NL"/>
              </w:rPr>
              <w:t>StiPP</w:t>
            </w:r>
          </w:p>
          <w:p w14:paraId="5222E072" w14:textId="360E6713" w:rsidR="004B0AEB" w:rsidRPr="00C42373" w:rsidRDefault="004B0AEB" w:rsidP="006801B6">
            <w:pPr>
              <w:rPr>
                <w:b/>
                <w:bCs/>
                <w:lang w:val="nl-NL"/>
              </w:rPr>
            </w:pPr>
            <w:r w:rsidRPr="00C42373">
              <w:rPr>
                <w:b/>
                <w:bCs/>
                <w:lang w:val="nl-NL"/>
              </w:rPr>
              <w:t>Totaal</w:t>
            </w:r>
          </w:p>
        </w:tc>
        <w:tc>
          <w:tcPr>
            <w:tcW w:w="1620" w:type="dxa"/>
          </w:tcPr>
          <w:p w14:paraId="1F095D0B" w14:textId="77777777" w:rsidR="005C067E" w:rsidRPr="00C42373" w:rsidRDefault="005C067E" w:rsidP="006801B6">
            <w:pPr>
              <w:jc w:val="right"/>
              <w:rPr>
                <w:lang w:val="nl-NL"/>
              </w:rPr>
            </w:pPr>
            <w:r w:rsidRPr="00C42373">
              <w:rPr>
                <w:lang w:val="nl-NL"/>
              </w:rPr>
              <w:t>21.971.600</w:t>
            </w:r>
          </w:p>
          <w:p w14:paraId="45432A7D" w14:textId="77777777" w:rsidR="005C067E" w:rsidRPr="00C42373" w:rsidRDefault="005C067E" w:rsidP="006801B6">
            <w:pPr>
              <w:jc w:val="right"/>
              <w:rPr>
                <w:lang w:val="nl-NL"/>
              </w:rPr>
            </w:pPr>
            <w:r w:rsidRPr="00C42373">
              <w:rPr>
                <w:lang w:val="nl-NL"/>
              </w:rPr>
              <w:t>7.000.000</w:t>
            </w:r>
          </w:p>
          <w:p w14:paraId="3CC1DFCB" w14:textId="77777777" w:rsidR="005C067E" w:rsidRPr="00C42373" w:rsidRDefault="005C067E" w:rsidP="006801B6">
            <w:pPr>
              <w:jc w:val="right"/>
              <w:rPr>
                <w:lang w:val="nl-NL"/>
              </w:rPr>
            </w:pPr>
          </w:p>
          <w:p w14:paraId="74B3352D" w14:textId="77777777" w:rsidR="005C067E" w:rsidRPr="00C42373" w:rsidRDefault="005C067E" w:rsidP="006801B6">
            <w:pPr>
              <w:jc w:val="right"/>
              <w:rPr>
                <w:lang w:val="nl-NL"/>
              </w:rPr>
            </w:pPr>
            <w:r w:rsidRPr="00C42373">
              <w:rPr>
                <w:lang w:val="nl-NL"/>
              </w:rPr>
              <w:t>1.727.000</w:t>
            </w:r>
          </w:p>
          <w:p w14:paraId="1A0BF5A9" w14:textId="77777777" w:rsidR="005C067E" w:rsidRPr="00C42373" w:rsidRDefault="005C067E" w:rsidP="006801B6">
            <w:pPr>
              <w:jc w:val="right"/>
              <w:rPr>
                <w:lang w:val="nl-NL"/>
              </w:rPr>
            </w:pPr>
            <w:r w:rsidRPr="00C42373">
              <w:rPr>
                <w:lang w:val="nl-NL"/>
              </w:rPr>
              <w:t>1.136.500</w:t>
            </w:r>
          </w:p>
          <w:p w14:paraId="57DC270A" w14:textId="77777777" w:rsidR="005C067E" w:rsidRPr="00C42373" w:rsidRDefault="005C067E" w:rsidP="006801B6">
            <w:pPr>
              <w:jc w:val="right"/>
              <w:rPr>
                <w:lang w:val="nl-NL"/>
              </w:rPr>
            </w:pPr>
            <w:r w:rsidRPr="00C42373">
              <w:rPr>
                <w:lang w:val="nl-NL"/>
              </w:rPr>
              <w:t>563.200</w:t>
            </w:r>
          </w:p>
          <w:p w14:paraId="41ADBB17" w14:textId="77777777" w:rsidR="005C067E" w:rsidRPr="00C42373" w:rsidRDefault="005C067E" w:rsidP="006801B6">
            <w:pPr>
              <w:jc w:val="right"/>
              <w:rPr>
                <w:lang w:val="nl-NL"/>
              </w:rPr>
            </w:pPr>
            <w:r w:rsidRPr="00C42373">
              <w:rPr>
                <w:lang w:val="nl-NL"/>
              </w:rPr>
              <w:t>224.710</w:t>
            </w:r>
          </w:p>
          <w:p w14:paraId="33D291E3" w14:textId="3F80C764" w:rsidR="00442202" w:rsidRPr="00C42373" w:rsidRDefault="00A02337" w:rsidP="006801B6">
            <w:pPr>
              <w:jc w:val="right"/>
              <w:rPr>
                <w:b/>
                <w:bCs/>
                <w:lang w:val="nl-NL"/>
              </w:rPr>
            </w:pPr>
            <w:r w:rsidRPr="00C42373">
              <w:rPr>
                <w:b/>
                <w:bCs/>
                <w:lang w:val="nl-NL"/>
              </w:rPr>
              <w:t>32.623.010</w:t>
            </w:r>
          </w:p>
        </w:tc>
        <w:tc>
          <w:tcPr>
            <w:tcW w:w="1710" w:type="dxa"/>
          </w:tcPr>
          <w:p w14:paraId="3033707B" w14:textId="77777777" w:rsidR="005C067E" w:rsidRPr="00C42373" w:rsidRDefault="005C067E" w:rsidP="006801B6">
            <w:pPr>
              <w:jc w:val="right"/>
              <w:rPr>
                <w:lang w:val="nl-NL"/>
              </w:rPr>
            </w:pPr>
            <w:r w:rsidRPr="00C42373">
              <w:rPr>
                <w:lang w:val="nl-NL"/>
              </w:rPr>
              <w:t>170.720.000</w:t>
            </w:r>
          </w:p>
          <w:p w14:paraId="406EEF4F" w14:textId="77777777" w:rsidR="005C067E" w:rsidRPr="00C42373" w:rsidRDefault="005C067E" w:rsidP="006801B6">
            <w:pPr>
              <w:jc w:val="right"/>
              <w:rPr>
                <w:lang w:val="nl-NL"/>
              </w:rPr>
            </w:pPr>
            <w:r w:rsidRPr="00C42373">
              <w:rPr>
                <w:lang w:val="nl-NL"/>
              </w:rPr>
              <w:t>92.000.000</w:t>
            </w:r>
          </w:p>
          <w:p w14:paraId="7ADF6E41" w14:textId="77777777" w:rsidR="005C067E" w:rsidRPr="00C42373" w:rsidRDefault="005C067E" w:rsidP="006801B6">
            <w:pPr>
              <w:jc w:val="right"/>
              <w:rPr>
                <w:lang w:val="nl-NL"/>
              </w:rPr>
            </w:pPr>
            <w:r w:rsidRPr="00C42373">
              <w:rPr>
                <w:lang w:val="nl-NL"/>
              </w:rPr>
              <w:t>10.641.186</w:t>
            </w:r>
          </w:p>
          <w:p w14:paraId="6895BB88" w14:textId="77777777" w:rsidR="005C067E" w:rsidRPr="00C42373" w:rsidRDefault="005C067E" w:rsidP="006801B6">
            <w:pPr>
              <w:jc w:val="right"/>
              <w:rPr>
                <w:lang w:val="nl-NL"/>
              </w:rPr>
            </w:pPr>
          </w:p>
          <w:p w14:paraId="53483D6D" w14:textId="77777777" w:rsidR="005C067E" w:rsidRPr="00C42373" w:rsidRDefault="005C067E" w:rsidP="006801B6">
            <w:pPr>
              <w:jc w:val="right"/>
              <w:rPr>
                <w:lang w:val="nl-NL"/>
              </w:rPr>
            </w:pPr>
          </w:p>
          <w:p w14:paraId="15696374" w14:textId="77777777" w:rsidR="005C067E" w:rsidRPr="00C42373" w:rsidRDefault="005C067E" w:rsidP="006801B6">
            <w:pPr>
              <w:jc w:val="right"/>
              <w:rPr>
                <w:lang w:val="nl-NL"/>
              </w:rPr>
            </w:pPr>
            <w:r w:rsidRPr="00C42373">
              <w:rPr>
                <w:lang w:val="nl-NL"/>
              </w:rPr>
              <w:t>88.000</w:t>
            </w:r>
          </w:p>
          <w:p w14:paraId="7D8B2555" w14:textId="77777777" w:rsidR="005C067E" w:rsidRPr="00C42373" w:rsidRDefault="005C067E" w:rsidP="006801B6">
            <w:pPr>
              <w:jc w:val="right"/>
              <w:rPr>
                <w:lang w:val="nl-NL"/>
              </w:rPr>
            </w:pPr>
          </w:p>
          <w:p w14:paraId="07191F5A" w14:textId="08ABF486" w:rsidR="00A02337" w:rsidRPr="00C42373" w:rsidRDefault="001B5515" w:rsidP="006801B6">
            <w:pPr>
              <w:jc w:val="right"/>
              <w:rPr>
                <w:b/>
                <w:bCs/>
                <w:lang w:val="nl-NL"/>
              </w:rPr>
            </w:pPr>
            <w:r w:rsidRPr="00C42373">
              <w:rPr>
                <w:b/>
                <w:bCs/>
                <w:lang w:val="nl-NL"/>
              </w:rPr>
              <w:t>273.449.186</w:t>
            </w:r>
          </w:p>
        </w:tc>
        <w:tc>
          <w:tcPr>
            <w:tcW w:w="1562" w:type="dxa"/>
          </w:tcPr>
          <w:p w14:paraId="69D47ABD" w14:textId="77777777" w:rsidR="005C067E" w:rsidRPr="00C42373" w:rsidRDefault="005C067E" w:rsidP="006801B6">
            <w:pPr>
              <w:jc w:val="right"/>
              <w:rPr>
                <w:lang w:val="nl-NL"/>
              </w:rPr>
            </w:pPr>
            <w:r w:rsidRPr="00C42373">
              <w:rPr>
                <w:lang w:val="nl-NL"/>
              </w:rPr>
              <w:t>192.693.600</w:t>
            </w:r>
          </w:p>
          <w:p w14:paraId="17758399" w14:textId="77777777" w:rsidR="005C067E" w:rsidRPr="00C42373" w:rsidRDefault="005C067E" w:rsidP="006801B6">
            <w:pPr>
              <w:jc w:val="right"/>
              <w:rPr>
                <w:lang w:val="nl-NL"/>
              </w:rPr>
            </w:pPr>
            <w:r w:rsidRPr="00C42373">
              <w:rPr>
                <w:lang w:val="nl-NL"/>
              </w:rPr>
              <w:t>99.000.000</w:t>
            </w:r>
          </w:p>
          <w:p w14:paraId="12463D61" w14:textId="77777777" w:rsidR="005C067E" w:rsidRPr="00C42373" w:rsidRDefault="005C067E" w:rsidP="006801B6">
            <w:pPr>
              <w:jc w:val="right"/>
              <w:rPr>
                <w:lang w:val="nl-NL"/>
              </w:rPr>
            </w:pPr>
            <w:r w:rsidRPr="00C42373">
              <w:rPr>
                <w:lang w:val="nl-NL"/>
              </w:rPr>
              <w:t>10.641.186</w:t>
            </w:r>
          </w:p>
          <w:p w14:paraId="2BAD7FF1" w14:textId="77777777" w:rsidR="005C067E" w:rsidRPr="00C42373" w:rsidRDefault="005C067E" w:rsidP="006801B6">
            <w:pPr>
              <w:jc w:val="right"/>
              <w:rPr>
                <w:lang w:val="nl-NL"/>
              </w:rPr>
            </w:pPr>
            <w:r w:rsidRPr="00C42373">
              <w:rPr>
                <w:lang w:val="nl-NL"/>
              </w:rPr>
              <w:t>1.727.000</w:t>
            </w:r>
          </w:p>
          <w:p w14:paraId="3A1201E4" w14:textId="77777777" w:rsidR="005C067E" w:rsidRPr="00C42373" w:rsidRDefault="005C067E" w:rsidP="006801B6">
            <w:pPr>
              <w:jc w:val="right"/>
              <w:rPr>
                <w:lang w:val="nl-NL"/>
              </w:rPr>
            </w:pPr>
            <w:r w:rsidRPr="00C42373">
              <w:rPr>
                <w:lang w:val="nl-NL"/>
              </w:rPr>
              <w:t>1.136.500</w:t>
            </w:r>
          </w:p>
          <w:p w14:paraId="5FDF4A4A" w14:textId="77777777" w:rsidR="005C067E" w:rsidRPr="00C42373" w:rsidRDefault="005C067E" w:rsidP="006801B6">
            <w:pPr>
              <w:jc w:val="right"/>
              <w:rPr>
                <w:lang w:val="nl-NL"/>
              </w:rPr>
            </w:pPr>
            <w:r w:rsidRPr="00C42373">
              <w:rPr>
                <w:lang w:val="nl-NL"/>
              </w:rPr>
              <w:t>651.200</w:t>
            </w:r>
          </w:p>
          <w:p w14:paraId="11A08184" w14:textId="77777777" w:rsidR="005C067E" w:rsidRPr="00C42373" w:rsidRDefault="005C067E" w:rsidP="006801B6">
            <w:pPr>
              <w:jc w:val="right"/>
              <w:rPr>
                <w:lang w:val="nl-NL"/>
              </w:rPr>
            </w:pPr>
            <w:r w:rsidRPr="00C42373">
              <w:rPr>
                <w:lang w:val="nl-NL"/>
              </w:rPr>
              <w:t>224.710</w:t>
            </w:r>
          </w:p>
          <w:p w14:paraId="1431D725" w14:textId="7D48297C" w:rsidR="004B0AEB" w:rsidRPr="00C42373" w:rsidRDefault="004B0AEB" w:rsidP="00A16646">
            <w:pPr>
              <w:jc w:val="right"/>
              <w:rPr>
                <w:b/>
                <w:bCs/>
                <w:lang w:val="nl-NL"/>
              </w:rPr>
            </w:pPr>
            <w:r w:rsidRPr="00C42373">
              <w:rPr>
                <w:b/>
                <w:bCs/>
                <w:lang w:val="nl-NL"/>
              </w:rPr>
              <w:t>306.074.196</w:t>
            </w:r>
          </w:p>
        </w:tc>
      </w:tr>
    </w:tbl>
    <w:p w14:paraId="38C6FCAD" w14:textId="77777777" w:rsidR="005C067E" w:rsidRPr="00C42373" w:rsidRDefault="005C067E" w:rsidP="005C067E">
      <w:pPr>
        <w:rPr>
          <w:lang w:val="nl-NL"/>
        </w:rPr>
      </w:pPr>
    </w:p>
    <w:p w14:paraId="5372CFA1" w14:textId="5EAED371" w:rsidR="000976A0" w:rsidRPr="00C42373" w:rsidRDefault="000976A0" w:rsidP="000976A0">
      <w:pPr>
        <w:pStyle w:val="EGWHeading2"/>
        <w:rPr>
          <w:lang w:val="nl-NL"/>
        </w:rPr>
      </w:pPr>
      <w:r>
        <w:rPr>
          <w:lang w:val="nl-NL"/>
        </w:rPr>
        <w:t>Reacties f</w:t>
      </w:r>
      <w:r w:rsidRPr="00C42373">
        <w:rPr>
          <w:lang w:val="nl-NL"/>
        </w:rPr>
        <w:t>inanciële</w:t>
      </w:r>
      <w:r>
        <w:rPr>
          <w:lang w:val="nl-NL"/>
        </w:rPr>
        <w:t xml:space="preserve"> instellingen op financiële</w:t>
      </w:r>
      <w:r w:rsidRPr="00C42373">
        <w:rPr>
          <w:lang w:val="nl-NL"/>
        </w:rPr>
        <w:t xml:space="preserve"> analyse</w:t>
      </w:r>
    </w:p>
    <w:p w14:paraId="3B7B6981" w14:textId="77777777" w:rsidR="005C067E" w:rsidRPr="00C42373" w:rsidRDefault="005C067E" w:rsidP="005C067E">
      <w:pPr>
        <w:jc w:val="both"/>
        <w:rPr>
          <w:lang w:val="nl-NL"/>
        </w:rPr>
      </w:pPr>
      <w:r w:rsidRPr="00C42373">
        <w:rPr>
          <w:lang w:val="nl-NL"/>
        </w:rPr>
        <w:t xml:space="preserve">Financiële instellingen hebben de gelegenheid gekregen de informatie over hun investeringen zoals hierboven genoemd te controleren. Zij hebben hier geen wijzigingen in aangebracht. </w:t>
      </w:r>
    </w:p>
    <w:p w14:paraId="63CC356C" w14:textId="77777777" w:rsidR="005C067E" w:rsidRPr="00C42373" w:rsidRDefault="005C067E" w:rsidP="005C067E">
      <w:pPr>
        <w:pStyle w:val="EGWHeading2"/>
        <w:rPr>
          <w:lang w:val="nl-NL"/>
        </w:rPr>
      </w:pPr>
      <w:r w:rsidRPr="00C42373">
        <w:rPr>
          <w:lang w:val="nl-NL"/>
        </w:rPr>
        <w:t>Uitvraag naar engagement</w:t>
      </w:r>
    </w:p>
    <w:p w14:paraId="4E3CCB5D" w14:textId="5AFC45B1" w:rsidR="00FE4FD3" w:rsidRPr="00C42373" w:rsidRDefault="005C067E" w:rsidP="00FE4FD3">
      <w:pPr>
        <w:rPr>
          <w:lang w:val="nl-NL"/>
        </w:rPr>
      </w:pPr>
      <w:r w:rsidRPr="00C42373">
        <w:rPr>
          <w:lang w:val="nl-NL"/>
        </w:rPr>
        <w:t xml:space="preserve">Voor het tweede deel van het onderzoek zijn de instellingen waarvoor financiële </w:t>
      </w:r>
      <w:r w:rsidR="00ED4A48">
        <w:rPr>
          <w:lang w:val="nl-NL"/>
        </w:rPr>
        <w:t>relaties</w:t>
      </w:r>
      <w:r w:rsidRPr="00C42373">
        <w:rPr>
          <w:lang w:val="nl-NL"/>
        </w:rPr>
        <w:t xml:space="preserve"> zijn gevonden</w:t>
      </w:r>
      <w:r w:rsidR="00ED4A48">
        <w:rPr>
          <w:lang w:val="nl-NL"/>
        </w:rPr>
        <w:t xml:space="preserve"> met Ivanhoe Mines en Zijin Mining Group</w:t>
      </w:r>
      <w:r w:rsidR="007A70BD">
        <w:rPr>
          <w:lang w:val="nl-NL"/>
        </w:rPr>
        <w:t xml:space="preserve"> </w:t>
      </w:r>
      <w:r w:rsidRPr="00C42373">
        <w:rPr>
          <w:lang w:val="nl-NL"/>
        </w:rPr>
        <w:t>benader</w:t>
      </w:r>
      <w:r w:rsidR="003765A2" w:rsidRPr="00C42373">
        <w:rPr>
          <w:lang w:val="nl-NL"/>
        </w:rPr>
        <w:t>d</w:t>
      </w:r>
      <w:r w:rsidRPr="00C42373">
        <w:rPr>
          <w:lang w:val="nl-NL"/>
        </w:rPr>
        <w:t xml:space="preserve"> met een uitvraag over hun engagement</w:t>
      </w:r>
      <w:r w:rsidR="007A70BD">
        <w:rPr>
          <w:lang w:val="nl-NL"/>
        </w:rPr>
        <w:t xml:space="preserve"> met deze bedrijven</w:t>
      </w:r>
      <w:r w:rsidR="00A275B7">
        <w:rPr>
          <w:lang w:val="nl-NL"/>
        </w:rPr>
        <w:t>.</w:t>
      </w:r>
      <w:r w:rsidRPr="00C42373">
        <w:rPr>
          <w:lang w:val="nl-NL"/>
        </w:rPr>
        <w:t xml:space="preserve"> </w:t>
      </w:r>
      <w:r w:rsidR="00A275B7" w:rsidRPr="00C42373">
        <w:rPr>
          <w:lang w:val="nl-NL"/>
        </w:rPr>
        <w:t>Het doel van dit deel van het onderzoek is om inzicht te krijgen in hoe financiële instellingen internationaal maatschappelijk verantwoord ondernemen toepassen. De mijnbouw is een sector waarin het risico op schendingen van mensenrechten en vervuiling van milieu en leefomgeving zeer hoog is.</w:t>
      </w:r>
      <w:r w:rsidR="00A275B7" w:rsidRPr="00A275B7">
        <w:rPr>
          <w:lang w:val="nl-NL"/>
        </w:rPr>
        <w:t xml:space="preserve"> </w:t>
      </w:r>
      <w:r w:rsidR="00A275B7" w:rsidRPr="00C42373">
        <w:rPr>
          <w:lang w:val="nl-NL"/>
        </w:rPr>
        <w:t>De casus van de Kamoa-kopermijn, zoals beschreven in hoofdstuk 1, illustreert dit.</w:t>
      </w:r>
    </w:p>
    <w:p w14:paraId="51E8A136" w14:textId="24388B77" w:rsidR="0078789C" w:rsidRPr="00C42373" w:rsidRDefault="0078789C" w:rsidP="00FE4FD3">
      <w:pPr>
        <w:rPr>
          <w:lang w:val="nl-NL"/>
        </w:rPr>
      </w:pPr>
      <w:r w:rsidRPr="00C42373">
        <w:rPr>
          <w:lang w:val="nl-NL"/>
        </w:rPr>
        <w:t>Volgens de UN Guiding Principles on Business and Human Rights (UNGP’s) en de OESO-richtlijnen voor Multinationale Ondernemingen hebben banken en institutionele beleggers de verantwoordelijkheid om mensenrechten te respecteren in al hun investeringsactiviteiten.</w:t>
      </w:r>
      <w:r w:rsidR="00917B8D" w:rsidRPr="00C42373">
        <w:rPr>
          <w:lang w:val="nl-NL"/>
        </w:rPr>
        <w:t xml:space="preserve"> </w:t>
      </w:r>
      <w:r w:rsidRPr="00C42373">
        <w:rPr>
          <w:lang w:val="nl-NL"/>
        </w:rPr>
        <w:t xml:space="preserve">In situaties met een verhoogd risico op grootschalige mensenrechtenschendingen zijn financiële instellingen verplicht verscherpte due diligence uit te voeren en actieve maatregelen te nemen wanneer zij via hun investeringen verbonden zijn met schadelijke activiteiten. </w:t>
      </w:r>
      <w:r w:rsidR="00917B8D" w:rsidRPr="00C42373">
        <w:rPr>
          <w:lang w:val="nl-NL"/>
        </w:rPr>
        <w:t>De financiële instellingen in scope onderstrepen deze internationale richtlijnen.</w:t>
      </w:r>
      <w:r w:rsidR="009E0DEB" w:rsidRPr="00C42373">
        <w:rPr>
          <w:rStyle w:val="EndnoteReference"/>
        </w:rPr>
        <w:endnoteReference w:id="28"/>
      </w:r>
      <w:r w:rsidR="00917B8D" w:rsidRPr="00C42373">
        <w:rPr>
          <w:lang w:val="nl-NL"/>
        </w:rPr>
        <w:t xml:space="preserve"> </w:t>
      </w:r>
    </w:p>
    <w:p w14:paraId="2C2A680C" w14:textId="7E368A26" w:rsidR="005C067E" w:rsidRPr="00C42373" w:rsidRDefault="00C92C1F" w:rsidP="005C067E">
      <w:pPr>
        <w:rPr>
          <w:lang w:val="nl-NL"/>
        </w:rPr>
      </w:pPr>
      <w:r>
        <w:rPr>
          <w:lang w:val="nl-NL"/>
        </w:rPr>
        <w:t>H</w:t>
      </w:r>
      <w:r w:rsidR="005C067E" w:rsidRPr="00C42373">
        <w:rPr>
          <w:lang w:val="nl-NL"/>
        </w:rPr>
        <w:t>et</w:t>
      </w:r>
      <w:r>
        <w:rPr>
          <w:lang w:val="nl-NL"/>
        </w:rPr>
        <w:t xml:space="preserve"> is</w:t>
      </w:r>
      <w:r w:rsidR="005C067E" w:rsidRPr="00C42373">
        <w:rPr>
          <w:lang w:val="nl-NL"/>
        </w:rPr>
        <w:t xml:space="preserve"> van belang dat financiële instellingen hun invloed aanwenden als investeerder om de bedrijven achter de Kamoa-mijn te motiveren de situatie op de grond te verbeteren. Dat proces wordt ook wel engagement genoemd. De financiële instelling gaat dan het gesprek aan met de bedrijven waarin wordt geïnvesteerd en zet andere stappen om het bedrijf te bewegen om </w:t>
      </w:r>
      <w:r w:rsidR="005C067E" w:rsidRPr="00C42373">
        <w:rPr>
          <w:lang w:val="nl-NL"/>
        </w:rPr>
        <w:lastRenderedPageBreak/>
        <w:t>misstanden te voorkomen. Indien een bedrijf onvoldoende vooruitgang laat zien, kan dat reden zijn voor de financiële instellingen om, uiteindelijk, de aandelen in het bedrijf te verkopen.</w:t>
      </w:r>
    </w:p>
    <w:p w14:paraId="71E658D7" w14:textId="08A952E3" w:rsidR="005C067E" w:rsidRPr="00C42373" w:rsidRDefault="005C067E" w:rsidP="005C067E">
      <w:pPr>
        <w:rPr>
          <w:lang w:val="nl-NL"/>
        </w:rPr>
      </w:pPr>
      <w:r w:rsidRPr="00C42373">
        <w:rPr>
          <w:lang w:val="nl-NL"/>
        </w:rPr>
        <w:t>Om te onderzoeken of en hoe engagement heeft plaatsgevonden met Ivanhoe Mines en Zijin Mining Group, heeft De Eerlijke Geldwijzer</w:t>
      </w:r>
      <w:r w:rsidR="007E7B31" w:rsidRPr="00C42373">
        <w:rPr>
          <w:lang w:val="nl-NL"/>
        </w:rPr>
        <w:t xml:space="preserve"> contact opgenomen met de financiële instellingen in scope, ze het rapport van Amnesty International uit 2023</w:t>
      </w:r>
      <w:r w:rsidR="00540178" w:rsidRPr="00C42373">
        <w:rPr>
          <w:rStyle w:val="EndnoteReference"/>
        </w:rPr>
        <w:endnoteReference w:id="29"/>
      </w:r>
      <w:r w:rsidR="007E7B31" w:rsidRPr="00C42373">
        <w:rPr>
          <w:lang w:val="nl-NL"/>
        </w:rPr>
        <w:t xml:space="preserve"> </w:t>
      </w:r>
      <w:r w:rsidR="00540178" w:rsidRPr="00C42373">
        <w:rPr>
          <w:lang w:val="nl-NL"/>
        </w:rPr>
        <w:t xml:space="preserve">en de casus uit dit rapport toegestuurd, </w:t>
      </w:r>
      <w:r w:rsidR="007E7B31" w:rsidRPr="00C42373">
        <w:rPr>
          <w:lang w:val="nl-NL"/>
        </w:rPr>
        <w:t>en</w:t>
      </w:r>
      <w:r w:rsidRPr="00C42373">
        <w:rPr>
          <w:lang w:val="nl-NL"/>
        </w:rPr>
        <w:t xml:space="preserve"> de volgende vragen voorgelegd aan de financiële instellingen:</w:t>
      </w:r>
    </w:p>
    <w:p w14:paraId="2CEB310F" w14:textId="77777777" w:rsidR="005C067E" w:rsidRPr="00C42373" w:rsidRDefault="005C067E" w:rsidP="0065181D">
      <w:pPr>
        <w:numPr>
          <w:ilvl w:val="0"/>
          <w:numId w:val="19"/>
        </w:numPr>
        <w:rPr>
          <w:lang w:val="nl-NL"/>
        </w:rPr>
      </w:pPr>
      <w:r w:rsidRPr="00C42373">
        <w:rPr>
          <w:lang w:val="nl-NL"/>
        </w:rPr>
        <w:t xml:space="preserve">Er zijn twee bedrijven die eigenaar zijn van de Kamoa-kopermijn, Ivanhoe Mines en Zijin Mining Group. Vindt er engagement plaats met deze bedrijven (voor zover er investeringen zijn)? </w:t>
      </w:r>
    </w:p>
    <w:p w14:paraId="55C5D727" w14:textId="77777777" w:rsidR="005C067E" w:rsidRPr="00C42373" w:rsidRDefault="005C067E" w:rsidP="0065181D">
      <w:pPr>
        <w:numPr>
          <w:ilvl w:val="1"/>
          <w:numId w:val="19"/>
        </w:numPr>
        <w:rPr>
          <w:lang w:val="nl-NL"/>
        </w:rPr>
      </w:pPr>
      <w:r w:rsidRPr="00C42373">
        <w:rPr>
          <w:lang w:val="nl-NL"/>
        </w:rPr>
        <w:t xml:space="preserve">Zo ja, wat is de engagementstrategie? Wat zijn het tijdspad, de doelen en resultaten van het engagement? Waar staat het engagement nu? Zijn de gestelde doelen gehaald? Proberen jullie de eigenaren van de mijn te beïnvloeden als het gaat om voorkomen en mitigeren van de schendingen zoals beschreven in het rapport? </w:t>
      </w:r>
    </w:p>
    <w:p w14:paraId="21DBD0AE" w14:textId="77777777" w:rsidR="005C067E" w:rsidRPr="00C42373" w:rsidRDefault="005C067E" w:rsidP="0065181D">
      <w:pPr>
        <w:numPr>
          <w:ilvl w:val="1"/>
          <w:numId w:val="19"/>
        </w:numPr>
        <w:rPr>
          <w:lang w:val="nl-NL"/>
        </w:rPr>
      </w:pPr>
      <w:r w:rsidRPr="00C42373">
        <w:rPr>
          <w:lang w:val="nl-NL"/>
        </w:rPr>
        <w:t xml:space="preserve">Zo nee, waarom niet? Er is eerder aandacht gevestigd op de problemen rondom deze mijn, waaronder in de publicatie van Amnesty International. Waren jullie op de hoogte van de schade aan mens en milieu door dit mijnbouwproject? </w:t>
      </w:r>
    </w:p>
    <w:p w14:paraId="76F30512" w14:textId="7B0AA8C2" w:rsidR="00FE4FD3" w:rsidRPr="00C42373" w:rsidRDefault="005C067E" w:rsidP="0065181D">
      <w:pPr>
        <w:numPr>
          <w:ilvl w:val="0"/>
          <w:numId w:val="19"/>
        </w:numPr>
        <w:rPr>
          <w:lang w:val="nl-NL"/>
        </w:rPr>
      </w:pPr>
      <w:r w:rsidRPr="00C42373">
        <w:rPr>
          <w:lang w:val="nl-NL"/>
        </w:rPr>
        <w:t xml:space="preserve">Wanneer jullie naar de case study kijken, is dat reden om (meer) engagement aan te gaan met de betreffende bedrijven? </w:t>
      </w:r>
    </w:p>
    <w:p w14:paraId="15CE9729" w14:textId="1027664A" w:rsidR="00FE4FD3" w:rsidRPr="00C42373" w:rsidRDefault="00FE4FD3" w:rsidP="00FE4FD3">
      <w:pPr>
        <w:rPr>
          <w:lang w:val="nl-NL"/>
        </w:rPr>
      </w:pPr>
      <w:r w:rsidRPr="00C42373">
        <w:rPr>
          <w:lang w:val="nl-NL"/>
        </w:rPr>
        <w:t>Zie hieronder de resultaten per financiële instelling en de conclusie van de uitvraag naar engagement.</w:t>
      </w:r>
    </w:p>
    <w:p w14:paraId="64166CA9" w14:textId="734D2AF8" w:rsidR="00FE4FD3" w:rsidRPr="00C42373" w:rsidRDefault="00FE4FD3" w:rsidP="00FE4FD3">
      <w:pPr>
        <w:pStyle w:val="EGWHeading3"/>
        <w:rPr>
          <w:lang w:val="nl-NL"/>
        </w:rPr>
      </w:pPr>
      <w:r w:rsidRPr="00C42373">
        <w:rPr>
          <w:lang w:val="nl-NL"/>
        </w:rPr>
        <w:t xml:space="preserve">Resultaten uitvraag: </w:t>
      </w:r>
      <w:r w:rsidR="0099476A" w:rsidRPr="00C42373">
        <w:rPr>
          <w:lang w:val="nl-NL"/>
        </w:rPr>
        <w:t>Allianz</w:t>
      </w:r>
    </w:p>
    <w:p w14:paraId="54D5A6BF" w14:textId="77777777" w:rsidR="00D16A53" w:rsidRDefault="0099476A" w:rsidP="0099476A">
      <w:pPr>
        <w:rPr>
          <w:lang w:val="nl-NL"/>
        </w:rPr>
      </w:pPr>
      <w:r w:rsidRPr="00C42373">
        <w:rPr>
          <w:lang w:val="nl-NL"/>
        </w:rPr>
        <w:t>Allianz heeft niet meegewerkt aan de uitvraag. Allianz heeft aangegeven dat ze geen uitspraken doen over investeringen en engagement op bedrijfsniveau.</w:t>
      </w:r>
      <w:r w:rsidR="004E18D3" w:rsidRPr="00C42373">
        <w:rPr>
          <w:lang w:val="nl-NL"/>
        </w:rPr>
        <w:t xml:space="preserve"> </w:t>
      </w:r>
    </w:p>
    <w:p w14:paraId="426AC546" w14:textId="3386C8E4" w:rsidR="0099476A" w:rsidRPr="00C42373" w:rsidRDefault="00AE3B2A" w:rsidP="0099476A">
      <w:pPr>
        <w:rPr>
          <w:lang w:val="nl-NL"/>
        </w:rPr>
      </w:pPr>
      <w:r w:rsidRPr="00C42373">
        <w:rPr>
          <w:lang w:val="nl-NL"/>
        </w:rPr>
        <w:t xml:space="preserve">De beleggingen die de Eerlijke Geldwijzer van Allianz heeft gevonden worden beheerd door </w:t>
      </w:r>
      <w:r w:rsidR="004E18D3" w:rsidRPr="00C42373">
        <w:rPr>
          <w:lang w:val="nl-NL"/>
        </w:rPr>
        <w:t>Allianz</w:t>
      </w:r>
      <w:r w:rsidRPr="00C42373">
        <w:rPr>
          <w:lang w:val="nl-NL"/>
        </w:rPr>
        <w:t xml:space="preserve"> Global Investors</w:t>
      </w:r>
      <w:r w:rsidR="00D14EC0" w:rsidRPr="00C42373">
        <w:rPr>
          <w:lang w:val="nl-NL"/>
        </w:rPr>
        <w:t>, de vermogensbeheerderstak van Allianz</w:t>
      </w:r>
      <w:r w:rsidR="00932FE9" w:rsidRPr="00C42373">
        <w:rPr>
          <w:lang w:val="nl-NL"/>
        </w:rPr>
        <w:t xml:space="preserve">. Deze instelling </w:t>
      </w:r>
      <w:r w:rsidR="004D4E85" w:rsidRPr="00C42373">
        <w:rPr>
          <w:lang w:val="nl-NL"/>
        </w:rPr>
        <w:t xml:space="preserve">maakt openbaar </w:t>
      </w:r>
      <w:r w:rsidR="00D14EC0" w:rsidRPr="00C42373">
        <w:rPr>
          <w:lang w:val="nl-NL"/>
        </w:rPr>
        <w:t xml:space="preserve">met welke bedrijven zij engagement uitvoert. Hieruit blijkt dat </w:t>
      </w:r>
      <w:r w:rsidR="00CF104C" w:rsidRPr="00C42373">
        <w:rPr>
          <w:lang w:val="nl-NL"/>
        </w:rPr>
        <w:t xml:space="preserve">in 2024 engagement heeft plaats gevonden met </w:t>
      </w:r>
      <w:r w:rsidR="00D14EC0" w:rsidRPr="00C42373">
        <w:rPr>
          <w:lang w:val="nl-NL"/>
        </w:rPr>
        <w:t xml:space="preserve">Zijin Mining Group </w:t>
      </w:r>
      <w:r w:rsidR="00CF104C" w:rsidRPr="00C42373">
        <w:rPr>
          <w:lang w:val="nl-NL"/>
        </w:rPr>
        <w:t xml:space="preserve">op het gebied van kwesties rondom </w:t>
      </w:r>
      <w:r w:rsidR="00B9401D" w:rsidRPr="00C42373">
        <w:rPr>
          <w:lang w:val="nl-NL"/>
        </w:rPr>
        <w:t>milieu, sociaal</w:t>
      </w:r>
      <w:r w:rsidR="00C65F44" w:rsidRPr="00C42373">
        <w:rPr>
          <w:lang w:val="nl-NL"/>
        </w:rPr>
        <w:t xml:space="preserve">, </w:t>
      </w:r>
      <w:r w:rsidR="00B9401D" w:rsidRPr="00C42373">
        <w:rPr>
          <w:lang w:val="nl-NL"/>
        </w:rPr>
        <w:t>goed bestuur</w:t>
      </w:r>
      <w:r w:rsidR="00C65F44" w:rsidRPr="00C42373">
        <w:rPr>
          <w:lang w:val="nl-NL"/>
        </w:rPr>
        <w:t xml:space="preserve"> en overige kwesties</w:t>
      </w:r>
      <w:r w:rsidR="00B9401D" w:rsidRPr="00C42373">
        <w:rPr>
          <w:lang w:val="nl-NL"/>
        </w:rPr>
        <w:t>.</w:t>
      </w:r>
      <w:r w:rsidR="00B9401D" w:rsidRPr="00C42373">
        <w:rPr>
          <w:rStyle w:val="EndnoteReference"/>
        </w:rPr>
        <w:endnoteReference w:id="30"/>
      </w:r>
      <w:r w:rsidR="00C76827" w:rsidRPr="00C42373">
        <w:rPr>
          <w:lang w:val="nl-NL"/>
        </w:rPr>
        <w:t xml:space="preserve"> Allianz </w:t>
      </w:r>
      <w:r w:rsidR="002A2314">
        <w:rPr>
          <w:lang w:val="nl-NL"/>
        </w:rPr>
        <w:t>is ech</w:t>
      </w:r>
      <w:r w:rsidR="00C76827" w:rsidRPr="00C42373">
        <w:rPr>
          <w:lang w:val="nl-NL"/>
        </w:rPr>
        <w:t>t</w:t>
      </w:r>
      <w:r w:rsidR="002A2314">
        <w:rPr>
          <w:lang w:val="nl-NL"/>
        </w:rPr>
        <w:t>er niet transparant over</w:t>
      </w:r>
      <w:r w:rsidR="00C76827" w:rsidRPr="00C42373">
        <w:rPr>
          <w:lang w:val="nl-NL"/>
        </w:rPr>
        <w:t xml:space="preserve"> welke </w:t>
      </w:r>
      <w:r w:rsidR="00CA7667" w:rsidRPr="00C42373">
        <w:rPr>
          <w:lang w:val="nl-NL"/>
        </w:rPr>
        <w:t xml:space="preserve">concrete </w:t>
      </w:r>
      <w:r w:rsidR="00C65F44" w:rsidRPr="00C42373">
        <w:rPr>
          <w:lang w:val="nl-NL"/>
        </w:rPr>
        <w:t>misstanden</w:t>
      </w:r>
      <w:r w:rsidR="00CA7667" w:rsidRPr="00C42373">
        <w:rPr>
          <w:lang w:val="nl-NL"/>
        </w:rPr>
        <w:t xml:space="preserve"> zijn aangekaart</w:t>
      </w:r>
      <w:r w:rsidR="00E302C9" w:rsidRPr="00C42373">
        <w:rPr>
          <w:lang w:val="nl-NL"/>
        </w:rPr>
        <w:t xml:space="preserve"> of </w:t>
      </w:r>
      <w:r w:rsidR="00C65F44" w:rsidRPr="00C42373">
        <w:rPr>
          <w:lang w:val="nl-NL"/>
        </w:rPr>
        <w:t>wat de</w:t>
      </w:r>
      <w:r w:rsidR="00DF4BEC" w:rsidRPr="00C42373">
        <w:rPr>
          <w:lang w:val="nl-NL"/>
        </w:rPr>
        <w:t xml:space="preserve"> </w:t>
      </w:r>
      <w:r w:rsidR="00E302C9" w:rsidRPr="00C42373">
        <w:rPr>
          <w:lang w:val="nl-NL"/>
        </w:rPr>
        <w:t>eisen van Allianz zijn richting het bedrijf.</w:t>
      </w:r>
      <w:r w:rsidR="00E31CE9" w:rsidRPr="00C42373">
        <w:rPr>
          <w:lang w:val="nl-NL"/>
        </w:rPr>
        <w:t xml:space="preserve"> </w:t>
      </w:r>
      <w:r w:rsidR="007166BA" w:rsidRPr="00C42373">
        <w:rPr>
          <w:lang w:val="nl-NL"/>
        </w:rPr>
        <w:t>Met Ivanhoe Mines vindt geen engagement plaats.</w:t>
      </w:r>
    </w:p>
    <w:p w14:paraId="4B18D4F8" w14:textId="428E6AC1" w:rsidR="0099476A" w:rsidRPr="00C42373" w:rsidRDefault="0099476A" w:rsidP="0099476A">
      <w:pPr>
        <w:pStyle w:val="EGWHeading3"/>
        <w:rPr>
          <w:lang w:val="nl-NL"/>
        </w:rPr>
      </w:pPr>
      <w:r w:rsidRPr="00C42373">
        <w:rPr>
          <w:lang w:val="nl-NL"/>
        </w:rPr>
        <w:t>Resultaten uitvraag: ABP</w:t>
      </w:r>
    </w:p>
    <w:p w14:paraId="6710CCA7" w14:textId="77777777" w:rsidR="00D16A53" w:rsidRDefault="0099476A" w:rsidP="0099476A">
      <w:pPr>
        <w:rPr>
          <w:lang w:val="nl-NL"/>
        </w:rPr>
      </w:pPr>
      <w:r w:rsidRPr="00C42373">
        <w:rPr>
          <w:lang w:val="nl-NL"/>
        </w:rPr>
        <w:t xml:space="preserve">ABP heeft aangegeven dat ze niet reageren op vragen van de Eerlijke Geldwijzer over individuele bedrijven en heeft niet meegewerkt aan de uitvraag. </w:t>
      </w:r>
      <w:r w:rsidR="00C5687A" w:rsidRPr="00C42373">
        <w:rPr>
          <w:lang w:val="nl-NL"/>
        </w:rPr>
        <w:t>Het pensioenfonds</w:t>
      </w:r>
      <w:r w:rsidRPr="00C42373">
        <w:rPr>
          <w:lang w:val="nl-NL"/>
        </w:rPr>
        <w:t xml:space="preserve"> geeft</w:t>
      </w:r>
      <w:r w:rsidR="002A2314">
        <w:rPr>
          <w:lang w:val="nl-NL"/>
        </w:rPr>
        <w:t xml:space="preserve"> wel</w:t>
      </w:r>
      <w:r w:rsidRPr="00C42373">
        <w:rPr>
          <w:lang w:val="nl-NL"/>
        </w:rPr>
        <w:t xml:space="preserve"> aan de door de Eerlijke Geldwijzer</w:t>
      </w:r>
      <w:r w:rsidR="00C5687A" w:rsidRPr="00C42373">
        <w:rPr>
          <w:lang w:val="nl-NL"/>
        </w:rPr>
        <w:t xml:space="preserve"> </w:t>
      </w:r>
      <w:r w:rsidRPr="00C42373">
        <w:rPr>
          <w:lang w:val="nl-NL"/>
        </w:rPr>
        <w:t xml:space="preserve">gedeelde informatie over de Kamoa-kopermijn op prijs te stellen. </w:t>
      </w:r>
      <w:r w:rsidR="002A2314">
        <w:rPr>
          <w:lang w:val="nl-NL"/>
        </w:rPr>
        <w:t>Daar</w:t>
      </w:r>
      <w:r w:rsidR="00C5687A" w:rsidRPr="00C42373">
        <w:rPr>
          <w:lang w:val="nl-NL"/>
        </w:rPr>
        <w:t>n</w:t>
      </w:r>
      <w:r w:rsidR="002A2314">
        <w:rPr>
          <w:lang w:val="nl-NL"/>
        </w:rPr>
        <w:t>aast is in</w:t>
      </w:r>
      <w:r w:rsidR="00C5687A" w:rsidRPr="00C42373">
        <w:rPr>
          <w:lang w:val="nl-NL"/>
        </w:rPr>
        <w:t xml:space="preserve"> november een afvaardiging van Fair Finance International, 11.11.11 en IBGDH ontvangen op het kantoor van ABP om de casus rondom de Kamoa-mijn mondeling toe te lichten. </w:t>
      </w:r>
    </w:p>
    <w:p w14:paraId="29EE3EF5" w14:textId="6BC7B251" w:rsidR="0099476A" w:rsidRPr="00C42373" w:rsidRDefault="007100C0" w:rsidP="0099476A">
      <w:pPr>
        <w:rPr>
          <w:lang w:val="nl-NL"/>
        </w:rPr>
      </w:pPr>
      <w:r w:rsidRPr="00C42373">
        <w:rPr>
          <w:lang w:val="nl-NL"/>
        </w:rPr>
        <w:t>ABP maakt openbaar met welke bedrijven zij engagement uitvoert.</w:t>
      </w:r>
      <w:r w:rsidRPr="00C42373">
        <w:rPr>
          <w:rStyle w:val="EndnoteReference"/>
        </w:rPr>
        <w:endnoteReference w:id="31"/>
      </w:r>
      <w:r w:rsidRPr="00C42373">
        <w:rPr>
          <w:lang w:val="nl-NL"/>
        </w:rPr>
        <w:t xml:space="preserve"> Uit deze informatie blijkt dat </w:t>
      </w:r>
      <w:r w:rsidR="0065181D" w:rsidRPr="00C42373">
        <w:rPr>
          <w:lang w:val="nl-NL"/>
        </w:rPr>
        <w:t>het fonds</w:t>
      </w:r>
      <w:r w:rsidRPr="00C42373">
        <w:rPr>
          <w:lang w:val="nl-NL"/>
        </w:rPr>
        <w:t xml:space="preserve"> niet met Ivanhoe Mines</w:t>
      </w:r>
      <w:r w:rsidR="00967768" w:rsidRPr="00C42373">
        <w:rPr>
          <w:lang w:val="nl-NL"/>
        </w:rPr>
        <w:t xml:space="preserve"> en Zijin Mining Group</w:t>
      </w:r>
      <w:r w:rsidRPr="00C42373">
        <w:rPr>
          <w:lang w:val="nl-NL"/>
        </w:rPr>
        <w:t xml:space="preserve"> in gesprek is</w:t>
      </w:r>
      <w:r w:rsidR="00967768" w:rsidRPr="00C42373">
        <w:rPr>
          <w:lang w:val="nl-NL"/>
        </w:rPr>
        <w:t xml:space="preserve"> over misstanden.</w:t>
      </w:r>
    </w:p>
    <w:p w14:paraId="12AF14AC" w14:textId="5DF2FB23" w:rsidR="0099476A" w:rsidRPr="00C42373" w:rsidRDefault="0099476A" w:rsidP="0099476A">
      <w:pPr>
        <w:pStyle w:val="EGWHeading3"/>
        <w:rPr>
          <w:lang w:val="nl-NL"/>
        </w:rPr>
      </w:pPr>
      <w:r w:rsidRPr="00C42373">
        <w:rPr>
          <w:lang w:val="nl-NL"/>
        </w:rPr>
        <w:t>Resultaten uitvraag: Pensioenfonds Detailhandel</w:t>
      </w:r>
    </w:p>
    <w:p w14:paraId="0E0A10DD" w14:textId="66E4A937" w:rsidR="00A32C47" w:rsidRDefault="0099476A" w:rsidP="0099476A">
      <w:pPr>
        <w:rPr>
          <w:lang w:val="nl-NL"/>
        </w:rPr>
      </w:pPr>
      <w:r w:rsidRPr="00C42373">
        <w:rPr>
          <w:lang w:val="nl-NL"/>
        </w:rPr>
        <w:t>Pensioenfonds Detailhandel heeft niet gereageerd op de berichten van de Eerlijke Geldwijzer.</w:t>
      </w:r>
      <w:r w:rsidR="00C75F5F" w:rsidRPr="00C42373">
        <w:rPr>
          <w:lang w:val="nl-NL"/>
        </w:rPr>
        <w:t xml:space="preserve"> Op basis van publiek beschikbare informatie is niet duidelijk of het pensioenfonds </w:t>
      </w:r>
      <w:r w:rsidR="00DE54AD" w:rsidRPr="00C42373">
        <w:rPr>
          <w:lang w:val="nl-NL"/>
        </w:rPr>
        <w:t>engagement voert met Zijin Mining Group.</w:t>
      </w:r>
    </w:p>
    <w:p w14:paraId="6D3C8E46" w14:textId="77777777" w:rsidR="00A32C47" w:rsidRDefault="00A32C47">
      <w:pPr>
        <w:spacing w:before="0" w:after="0"/>
        <w:rPr>
          <w:lang w:val="nl-NL"/>
        </w:rPr>
      </w:pPr>
      <w:r>
        <w:rPr>
          <w:lang w:val="nl-NL"/>
        </w:rPr>
        <w:br w:type="page"/>
      </w:r>
    </w:p>
    <w:p w14:paraId="61B8D782" w14:textId="05D06319" w:rsidR="0099476A" w:rsidRPr="00C42373" w:rsidRDefault="0099476A" w:rsidP="0099476A">
      <w:pPr>
        <w:pStyle w:val="EGWHeading3"/>
        <w:rPr>
          <w:lang w:val="nl-NL"/>
        </w:rPr>
      </w:pPr>
      <w:r w:rsidRPr="00C42373">
        <w:rPr>
          <w:lang w:val="nl-NL"/>
        </w:rPr>
        <w:lastRenderedPageBreak/>
        <w:t xml:space="preserve">Resultaten uitvraag: </w:t>
      </w:r>
      <w:r w:rsidR="003C0035" w:rsidRPr="00C42373">
        <w:rPr>
          <w:lang w:val="nl-NL"/>
        </w:rPr>
        <w:t>Pensioenfonds Vervoer</w:t>
      </w:r>
    </w:p>
    <w:p w14:paraId="707A8102" w14:textId="08F7E77B" w:rsidR="003C0035" w:rsidRPr="00C42373" w:rsidRDefault="003C0035" w:rsidP="003C0035">
      <w:pPr>
        <w:rPr>
          <w:lang w:val="nl-NL"/>
        </w:rPr>
      </w:pPr>
      <w:r w:rsidRPr="00C42373">
        <w:rPr>
          <w:lang w:val="nl-NL"/>
        </w:rPr>
        <w:t>Pensioenfonds Vervoer heeft meegewerkt aan de uitvraag en heeft daarin aangegeven dat er nog geen engagement plaatsvindt met Ivanhoe Mines of Zijin Mining Group naar aanleiding van de Kamoa-kopermijn. Het pensioenfonds geeft aan sinds 2023 wel engagement te voeren met Zijin Mining Group naar aanleiding van vier andere controverses: vermeende schending van inheemse rechten in de Río Blanco-mijn in Peru; vermeende medeplichtigheid aan mensenrechtenschendingen door veiligheidstroepen/-leveranciers in de Porgera-mijn in Papoea-Nieuw-Guinea; vermeend falen om watervervuiling in de Porgera-mijn in Papoea-Nieuw-Guinea te voorkomen; vermeend falen om vervuiling in Servië te voorkomen. Pensioenfonds Vervoer geeft aan dat ze de casus</w:t>
      </w:r>
      <w:r w:rsidR="000C3FC8" w:rsidRPr="00C42373">
        <w:rPr>
          <w:lang w:val="nl-NL"/>
        </w:rPr>
        <w:t xml:space="preserve"> van de Kamoa-kopermijn</w:t>
      </w:r>
      <w:r w:rsidRPr="00C42373">
        <w:rPr>
          <w:lang w:val="nl-NL"/>
        </w:rPr>
        <w:t xml:space="preserve"> heeft voorgelegd aan diens data</w:t>
      </w:r>
      <w:r w:rsidR="000C3FC8" w:rsidRPr="00C42373">
        <w:rPr>
          <w:lang w:val="nl-NL"/>
        </w:rPr>
        <w:t>leverancier</w:t>
      </w:r>
      <w:r w:rsidRPr="00C42373">
        <w:rPr>
          <w:lang w:val="nl-NL"/>
        </w:rPr>
        <w:t xml:space="preserve"> ISS ESG.</w:t>
      </w:r>
      <w:r w:rsidR="000C3FC8" w:rsidRPr="00C42373">
        <w:rPr>
          <w:rStyle w:val="FootnoteReference"/>
          <w:lang w:val="nl-NL"/>
        </w:rPr>
        <w:footnoteReference w:id="6"/>
      </w:r>
      <w:r w:rsidRPr="00C42373">
        <w:rPr>
          <w:lang w:val="nl-NL"/>
        </w:rPr>
        <w:t xml:space="preserve"> Op basis van het gesprek met ISS ESG zal Pensioenfonds Vervoer onderzoeken wat de vervolgstappen zullen zijn.</w:t>
      </w:r>
    </w:p>
    <w:p w14:paraId="10F96809" w14:textId="74CAD554" w:rsidR="0099476A" w:rsidRPr="00C42373" w:rsidRDefault="0099476A" w:rsidP="0099476A">
      <w:pPr>
        <w:pStyle w:val="EGWHeading3"/>
        <w:rPr>
          <w:lang w:val="nl-NL"/>
        </w:rPr>
      </w:pPr>
      <w:r w:rsidRPr="00C42373">
        <w:rPr>
          <w:lang w:val="nl-NL"/>
        </w:rPr>
        <w:t xml:space="preserve">Resultaten uitvraag: </w:t>
      </w:r>
      <w:r w:rsidR="003C0035" w:rsidRPr="00C42373">
        <w:rPr>
          <w:lang w:val="nl-NL"/>
        </w:rPr>
        <w:t>BpfBOUW</w:t>
      </w:r>
    </w:p>
    <w:p w14:paraId="65DC24AB" w14:textId="6A166C1B" w:rsidR="00586F5A" w:rsidRDefault="000C3FC8" w:rsidP="000C3FC8">
      <w:pPr>
        <w:rPr>
          <w:lang w:val="nl-NL"/>
        </w:rPr>
      </w:pPr>
      <w:r w:rsidRPr="00C42373">
        <w:rPr>
          <w:lang w:val="nl-NL"/>
        </w:rPr>
        <w:t>BpfBOUW heeft aangegeven dat ze niet reageren op vragen van de Eerlijke Geldwijzer over individuele bedrijven en heeft niet meegewerkt aan de uitvraag. BpfBOUW geeft aan de door de Eerlijke Geldwijzer met hen gedeelde informatie over de Kamoa-kopermijn op prijs te stellen.</w:t>
      </w:r>
      <w:r w:rsidR="00C94832" w:rsidRPr="00C42373">
        <w:rPr>
          <w:lang w:val="nl-NL"/>
        </w:rPr>
        <w:t xml:space="preserve"> </w:t>
      </w:r>
    </w:p>
    <w:p w14:paraId="0A0EED78" w14:textId="00BCCB9E" w:rsidR="000C3FC8" w:rsidRPr="00C42373" w:rsidRDefault="00C35B23" w:rsidP="000C3FC8">
      <w:pPr>
        <w:rPr>
          <w:lang w:val="nl-NL"/>
        </w:rPr>
      </w:pPr>
      <w:r w:rsidRPr="00C42373">
        <w:rPr>
          <w:lang w:val="nl-NL"/>
        </w:rPr>
        <w:t xml:space="preserve">BpfBOUW maakt openbaar met welke bedrijven zij </w:t>
      </w:r>
      <w:r w:rsidR="00811B9F" w:rsidRPr="00C42373">
        <w:rPr>
          <w:lang w:val="nl-NL"/>
        </w:rPr>
        <w:t>engagement uitvoert.</w:t>
      </w:r>
      <w:r w:rsidR="00811B9F" w:rsidRPr="00C42373">
        <w:rPr>
          <w:rStyle w:val="EndnoteReference"/>
        </w:rPr>
        <w:endnoteReference w:id="32"/>
      </w:r>
      <w:r w:rsidR="00811B9F" w:rsidRPr="00C42373">
        <w:rPr>
          <w:lang w:val="nl-NL"/>
        </w:rPr>
        <w:t xml:space="preserve"> Uit</w:t>
      </w:r>
      <w:r w:rsidR="00C94832" w:rsidRPr="00C42373">
        <w:rPr>
          <w:lang w:val="nl-NL"/>
        </w:rPr>
        <w:t xml:space="preserve"> de</w:t>
      </w:r>
      <w:r w:rsidR="00811B9F" w:rsidRPr="00C42373">
        <w:rPr>
          <w:lang w:val="nl-NL"/>
        </w:rPr>
        <w:t xml:space="preserve">ze </w:t>
      </w:r>
      <w:r w:rsidR="00C94832" w:rsidRPr="00C42373">
        <w:rPr>
          <w:lang w:val="nl-NL"/>
        </w:rPr>
        <w:t xml:space="preserve">informatie </w:t>
      </w:r>
      <w:r w:rsidR="00811B9F" w:rsidRPr="00C42373">
        <w:rPr>
          <w:lang w:val="nl-NL"/>
        </w:rPr>
        <w:t>blijkt dat BpfBOUW niet met Ivanhoe Mines in gesprek is</w:t>
      </w:r>
      <w:r w:rsidR="00967768" w:rsidRPr="00C42373">
        <w:rPr>
          <w:lang w:val="nl-NL"/>
        </w:rPr>
        <w:t xml:space="preserve"> over misstanden.</w:t>
      </w:r>
    </w:p>
    <w:p w14:paraId="7C3B776A" w14:textId="41DEBDD3" w:rsidR="0099476A" w:rsidRPr="00C42373" w:rsidRDefault="0099476A" w:rsidP="0099476A">
      <w:pPr>
        <w:pStyle w:val="EGWHeading3"/>
        <w:rPr>
          <w:lang w:val="nl-NL"/>
        </w:rPr>
      </w:pPr>
      <w:r w:rsidRPr="00C42373">
        <w:rPr>
          <w:lang w:val="nl-NL"/>
        </w:rPr>
        <w:t xml:space="preserve">Resultaten uitvraag: </w:t>
      </w:r>
      <w:r w:rsidR="003C0035" w:rsidRPr="00C42373">
        <w:rPr>
          <w:lang w:val="nl-NL"/>
        </w:rPr>
        <w:t>ABN AMRO</w:t>
      </w:r>
    </w:p>
    <w:p w14:paraId="2DABAE2A" w14:textId="52E604D0" w:rsidR="00F05C8A" w:rsidRPr="00C82A87" w:rsidRDefault="003C0035" w:rsidP="00F05C8A">
      <w:pPr>
        <w:rPr>
          <w:lang w:val="nl-NL"/>
        </w:rPr>
      </w:pPr>
      <w:r w:rsidRPr="00C42373">
        <w:rPr>
          <w:lang w:val="nl-NL"/>
        </w:rPr>
        <w:t xml:space="preserve">ABN AMRO </w:t>
      </w:r>
      <w:r w:rsidR="00411D1A" w:rsidRPr="00C42373">
        <w:rPr>
          <w:lang w:val="nl-NL"/>
        </w:rPr>
        <w:t>heeft niet</w:t>
      </w:r>
      <w:r w:rsidRPr="00C42373">
        <w:rPr>
          <w:lang w:val="nl-NL"/>
        </w:rPr>
        <w:t xml:space="preserve"> meegewerkt aan de uitvraag.</w:t>
      </w:r>
      <w:r w:rsidR="00411D1A" w:rsidRPr="00C42373">
        <w:rPr>
          <w:lang w:val="nl-NL"/>
        </w:rPr>
        <w:t xml:space="preserve"> De bank geeft aan dat ze geen uitspraken </w:t>
      </w:r>
      <w:r w:rsidR="008B23A0" w:rsidRPr="00C42373">
        <w:rPr>
          <w:lang w:val="nl-NL"/>
        </w:rPr>
        <w:t xml:space="preserve">doet </w:t>
      </w:r>
      <w:r w:rsidR="00411D1A" w:rsidRPr="00C42373">
        <w:rPr>
          <w:lang w:val="nl-NL"/>
        </w:rPr>
        <w:t>over individuele klanten</w:t>
      </w:r>
      <w:r w:rsidR="00E504BA" w:rsidRPr="00C42373">
        <w:rPr>
          <w:lang w:val="nl-NL"/>
        </w:rPr>
        <w:t>.</w:t>
      </w:r>
      <w:r w:rsidR="00592635" w:rsidRPr="00C42373">
        <w:rPr>
          <w:rStyle w:val="FootnoteReference"/>
          <w:lang w:val="nl-NL"/>
        </w:rPr>
        <w:footnoteReference w:id="7"/>
      </w:r>
      <w:r w:rsidR="00233683" w:rsidRPr="00C42373">
        <w:rPr>
          <w:lang w:val="nl-NL"/>
        </w:rPr>
        <w:t xml:space="preserve"> </w:t>
      </w:r>
      <w:r w:rsidR="00C82A87" w:rsidRPr="00C82A87">
        <w:rPr>
          <w:lang w:val="nl-NL"/>
        </w:rPr>
        <w:t>Op basis van beschikbare publieke informatie is niet duidelijk of de bank engagement voert met Ivanhoe Mines of Zijin Mining Group.</w:t>
      </w:r>
    </w:p>
    <w:p w14:paraId="1FB29A37" w14:textId="4030C41A" w:rsidR="00FE4FD3" w:rsidRPr="00C42373" w:rsidRDefault="00FE4FD3" w:rsidP="00FE4FD3">
      <w:pPr>
        <w:pStyle w:val="EGWHeading3"/>
        <w:rPr>
          <w:lang w:val="nl-NL"/>
        </w:rPr>
      </w:pPr>
      <w:r w:rsidRPr="00C42373">
        <w:rPr>
          <w:lang w:val="nl-NL"/>
        </w:rPr>
        <w:t>Resultaten uitvraag</w:t>
      </w:r>
      <w:r w:rsidR="0099476A" w:rsidRPr="00C42373">
        <w:rPr>
          <w:lang w:val="nl-NL"/>
        </w:rPr>
        <w:t>: StiPP</w:t>
      </w:r>
    </w:p>
    <w:p w14:paraId="58D8AC14" w14:textId="410ADCAF" w:rsidR="00ED1CA9" w:rsidRDefault="0099476A" w:rsidP="00FE4FD3">
      <w:pPr>
        <w:jc w:val="both"/>
        <w:rPr>
          <w:lang w:val="nl-NL"/>
        </w:rPr>
      </w:pPr>
      <w:r w:rsidRPr="00C42373">
        <w:rPr>
          <w:lang w:val="nl-NL"/>
        </w:rPr>
        <w:t xml:space="preserve">StiPP werkte mee aan de uitvraag. Op dit moment heeft StiPP geen engagement met Ivanhoe Mines. Op basis van de informatie verstrekt door de Eerlijke Geldwijzer over de Kamoa-mijn, heeft StiPP aangegeven dat ze de melding </w:t>
      </w:r>
      <w:r w:rsidR="001E6E05">
        <w:rPr>
          <w:lang w:val="nl-NL"/>
        </w:rPr>
        <w:t xml:space="preserve">over misstanden </w:t>
      </w:r>
      <w:r w:rsidRPr="00C42373">
        <w:rPr>
          <w:lang w:val="nl-NL"/>
        </w:rPr>
        <w:t>serieus nemen en dat de casus meer aandacht za</w:t>
      </w:r>
      <w:r w:rsidR="00CA339C" w:rsidRPr="00C42373">
        <w:rPr>
          <w:lang w:val="nl-NL"/>
        </w:rPr>
        <w:t>l</w:t>
      </w:r>
      <w:r w:rsidRPr="00C42373">
        <w:rPr>
          <w:lang w:val="nl-NL"/>
        </w:rPr>
        <w:t xml:space="preserve"> krijgen van de vermogensbeheerder van StiPP, Northern Trust. Het fonds heeft ook met de Eerlijke Geldwijzer gedeeld hoe diens ESG-dataprovider Ivanhoe Mines heeft gescoord: ‘Binnen de kaders en richtlijnen van ons MVB beleid voldoet Ivanhoe Mines thans vooralsnog aan alle criteria. De ESG rating is A, wat valt binnen de kaders van ons MVB beleid.’</w:t>
      </w:r>
    </w:p>
    <w:p w14:paraId="39C673FB" w14:textId="77777777" w:rsidR="00A32C47" w:rsidRDefault="00A32C47" w:rsidP="00FE4FD3">
      <w:pPr>
        <w:jc w:val="both"/>
        <w:rPr>
          <w:lang w:val="nl-NL"/>
        </w:rPr>
      </w:pPr>
    </w:p>
    <w:p w14:paraId="2856ABBF" w14:textId="77777777" w:rsidR="00A32C47" w:rsidRPr="00C42373" w:rsidRDefault="00A32C47" w:rsidP="00FE4FD3">
      <w:pPr>
        <w:jc w:val="both"/>
        <w:rPr>
          <w:lang w:val="nl-NL"/>
        </w:rPr>
      </w:pPr>
    </w:p>
    <w:p w14:paraId="44BBE2A7" w14:textId="5E30EF0A" w:rsidR="00FE4FD3" w:rsidRPr="00C42373" w:rsidRDefault="00FE4FD3" w:rsidP="00196A53">
      <w:pPr>
        <w:pStyle w:val="EGWHeading2"/>
        <w:rPr>
          <w:lang w:val="nl-NL"/>
        </w:rPr>
      </w:pPr>
      <w:r w:rsidRPr="00C42373">
        <w:rPr>
          <w:lang w:val="nl-NL"/>
        </w:rPr>
        <w:lastRenderedPageBreak/>
        <w:t xml:space="preserve">Conclusie </w:t>
      </w:r>
    </w:p>
    <w:p w14:paraId="3C69F754" w14:textId="679C928A" w:rsidR="000C3FC8" w:rsidRDefault="000310D6" w:rsidP="000C3FC8">
      <w:pPr>
        <w:rPr>
          <w:lang w:val="nl-NL"/>
        </w:rPr>
      </w:pPr>
      <w:r w:rsidRPr="00C42373">
        <w:rPr>
          <w:lang w:val="nl-NL"/>
        </w:rPr>
        <w:t>Over het algemeen voeren de</w:t>
      </w:r>
      <w:r w:rsidR="004E4383" w:rsidRPr="00C42373">
        <w:rPr>
          <w:lang w:val="nl-NL"/>
        </w:rPr>
        <w:t xml:space="preserve"> financiële instellingen in scope </w:t>
      </w:r>
      <w:r w:rsidR="00D10817">
        <w:rPr>
          <w:lang w:val="nl-NL"/>
        </w:rPr>
        <w:t xml:space="preserve">weinig </w:t>
      </w:r>
      <w:r w:rsidR="004E4383" w:rsidRPr="00C42373">
        <w:rPr>
          <w:lang w:val="nl-NL"/>
        </w:rPr>
        <w:t>engagement uit op Zijin Mining Group en Ivanhoe Mines</w:t>
      </w:r>
      <w:r w:rsidRPr="00C42373">
        <w:rPr>
          <w:lang w:val="nl-NL"/>
        </w:rPr>
        <w:t>.</w:t>
      </w:r>
      <w:r w:rsidR="008D3897" w:rsidRPr="00C42373">
        <w:rPr>
          <w:lang w:val="nl-NL"/>
        </w:rPr>
        <w:t xml:space="preserve"> Op basis van beschikbare</w:t>
      </w:r>
      <w:r w:rsidR="00D10817">
        <w:rPr>
          <w:lang w:val="nl-NL"/>
        </w:rPr>
        <w:t xml:space="preserve"> publieke</w:t>
      </w:r>
      <w:r w:rsidR="008D3897" w:rsidRPr="00C42373">
        <w:rPr>
          <w:lang w:val="nl-NL"/>
        </w:rPr>
        <w:t xml:space="preserve"> informatie </w:t>
      </w:r>
      <w:r w:rsidR="00D10817">
        <w:rPr>
          <w:lang w:val="nl-NL"/>
        </w:rPr>
        <w:t>en de uitvraag, blijkt dat</w:t>
      </w:r>
      <w:r w:rsidR="007533C6" w:rsidRPr="00C42373">
        <w:rPr>
          <w:lang w:val="nl-NL"/>
        </w:rPr>
        <w:t xml:space="preserve"> geen van de instellingen engagement voer</w:t>
      </w:r>
      <w:r w:rsidR="00D10817">
        <w:rPr>
          <w:lang w:val="nl-NL"/>
        </w:rPr>
        <w:t>t</w:t>
      </w:r>
      <w:r w:rsidR="007533C6" w:rsidRPr="00C42373">
        <w:rPr>
          <w:lang w:val="nl-NL"/>
        </w:rPr>
        <w:t xml:space="preserve"> met deze bedrijven</w:t>
      </w:r>
      <w:r w:rsidR="00800843" w:rsidRPr="00C42373">
        <w:rPr>
          <w:lang w:val="nl-NL"/>
        </w:rPr>
        <w:t xml:space="preserve"> </w:t>
      </w:r>
      <w:r w:rsidR="007533C6" w:rsidRPr="00C42373">
        <w:rPr>
          <w:lang w:val="nl-NL"/>
        </w:rPr>
        <w:t>naar aanleiding van de misstanden rondom de Kamoa-kopermijn</w:t>
      </w:r>
      <w:r w:rsidR="00800843" w:rsidRPr="00C42373">
        <w:rPr>
          <w:lang w:val="nl-NL"/>
        </w:rPr>
        <w:t>.</w:t>
      </w:r>
      <w:r w:rsidR="004E4383" w:rsidRPr="00C42373">
        <w:rPr>
          <w:lang w:val="nl-NL"/>
        </w:rPr>
        <w:t xml:space="preserve"> </w:t>
      </w:r>
      <w:r w:rsidR="007E60C9" w:rsidRPr="00C42373">
        <w:rPr>
          <w:lang w:val="nl-NL"/>
        </w:rPr>
        <w:t xml:space="preserve">Van ABP </w:t>
      </w:r>
      <w:r w:rsidR="00635C25" w:rsidRPr="00C42373">
        <w:rPr>
          <w:lang w:val="nl-NL"/>
        </w:rPr>
        <w:t xml:space="preserve">en BpfBOUw is op basis van publieke informatie duidelijk dat zij geen engagement </w:t>
      </w:r>
      <w:r w:rsidR="00F0374B">
        <w:rPr>
          <w:lang w:val="nl-NL"/>
        </w:rPr>
        <w:t>voeren</w:t>
      </w:r>
      <w:r w:rsidR="00635C25" w:rsidRPr="00C42373">
        <w:rPr>
          <w:lang w:val="nl-NL"/>
        </w:rPr>
        <w:t xml:space="preserve"> met Ivanhoe Mines of Zijin Mining Group</w:t>
      </w:r>
      <w:r w:rsidR="00A0269B" w:rsidRPr="00C42373">
        <w:rPr>
          <w:lang w:val="nl-NL"/>
        </w:rPr>
        <w:t xml:space="preserve">. </w:t>
      </w:r>
      <w:r w:rsidR="007C543C" w:rsidRPr="007C543C">
        <w:rPr>
          <w:lang w:val="nl-NL"/>
        </w:rPr>
        <w:t>Verder blijkt op basis van publieke informatie dat Allianz geen engagement voer</w:t>
      </w:r>
      <w:r w:rsidR="007C543C">
        <w:rPr>
          <w:lang w:val="nl-NL"/>
        </w:rPr>
        <w:t>t</w:t>
      </w:r>
      <w:r w:rsidR="007C543C" w:rsidRPr="007C543C">
        <w:rPr>
          <w:lang w:val="nl-NL"/>
        </w:rPr>
        <w:t xml:space="preserve"> met Ivanhoe Mines, maar wel met Zijin Mining Group.</w:t>
      </w:r>
      <w:r w:rsidR="007C543C">
        <w:rPr>
          <w:lang w:val="nl-NL"/>
        </w:rPr>
        <w:t xml:space="preserve"> </w:t>
      </w:r>
      <w:r w:rsidR="00F0374B">
        <w:rPr>
          <w:lang w:val="nl-NL"/>
        </w:rPr>
        <w:t>Allianz</w:t>
      </w:r>
      <w:r w:rsidR="00A0269B" w:rsidRPr="00C42373">
        <w:rPr>
          <w:lang w:val="nl-NL"/>
        </w:rPr>
        <w:t xml:space="preserve"> is echter niet transparant </w:t>
      </w:r>
      <w:r w:rsidR="00F0374B">
        <w:rPr>
          <w:lang w:val="nl-NL"/>
        </w:rPr>
        <w:t xml:space="preserve">over </w:t>
      </w:r>
      <w:r w:rsidR="004E4383" w:rsidRPr="00C42373">
        <w:rPr>
          <w:lang w:val="nl-NL"/>
        </w:rPr>
        <w:t xml:space="preserve">welke kwesties </w:t>
      </w:r>
      <w:r w:rsidR="00974445">
        <w:rPr>
          <w:lang w:val="nl-NL"/>
        </w:rPr>
        <w:t>zij</w:t>
      </w:r>
      <w:r w:rsidR="004E4383" w:rsidRPr="00C42373">
        <w:rPr>
          <w:lang w:val="nl-NL"/>
        </w:rPr>
        <w:t xml:space="preserve"> aankaart en wat de verzekeraar eist van Zijin Mining Group.</w:t>
      </w:r>
      <w:r w:rsidR="00A0269B" w:rsidRPr="00C42373">
        <w:rPr>
          <w:lang w:val="nl-NL"/>
        </w:rPr>
        <w:t xml:space="preserve"> </w:t>
      </w:r>
      <w:r w:rsidR="00B762D0" w:rsidRPr="00C42373">
        <w:rPr>
          <w:lang w:val="nl-NL"/>
        </w:rPr>
        <w:t xml:space="preserve">Pensioenfonds Vervoer en ABN AMRO </w:t>
      </w:r>
      <w:r w:rsidR="006B2875" w:rsidRPr="00C42373">
        <w:rPr>
          <w:lang w:val="nl-NL"/>
        </w:rPr>
        <w:t>zijn niet transparant over hun engagement</w:t>
      </w:r>
      <w:r w:rsidR="00A0269B" w:rsidRPr="00C42373">
        <w:rPr>
          <w:lang w:val="nl-NL"/>
        </w:rPr>
        <w:t>.</w:t>
      </w:r>
      <w:r w:rsidR="008D3897" w:rsidRPr="00C42373">
        <w:rPr>
          <w:lang w:val="nl-NL"/>
        </w:rPr>
        <w:t xml:space="preserve"> Uit de uitvraag blijkt dat </w:t>
      </w:r>
      <w:r w:rsidR="00A0269B" w:rsidRPr="00C42373">
        <w:rPr>
          <w:lang w:val="nl-NL"/>
        </w:rPr>
        <w:t xml:space="preserve">StiPP </w:t>
      </w:r>
      <w:r w:rsidR="008D3897" w:rsidRPr="00C42373">
        <w:rPr>
          <w:lang w:val="nl-NL"/>
        </w:rPr>
        <w:t>geen engagement voert met Ivanhoe Mines.</w:t>
      </w:r>
      <w:r w:rsidR="000C3FC8" w:rsidRPr="00C42373">
        <w:rPr>
          <w:lang w:val="nl-NL"/>
        </w:rPr>
        <w:t xml:space="preserve"> </w:t>
      </w:r>
      <w:r w:rsidR="00CA339C" w:rsidRPr="00C42373">
        <w:rPr>
          <w:lang w:val="nl-NL"/>
        </w:rPr>
        <w:t>Pensioenfonds Vervoer</w:t>
      </w:r>
      <w:r w:rsidR="00BF74F0">
        <w:rPr>
          <w:lang w:val="nl-NL"/>
        </w:rPr>
        <w:t xml:space="preserve"> geeft als enige instelling aan </w:t>
      </w:r>
      <w:r w:rsidR="00CA339C" w:rsidRPr="00C42373">
        <w:rPr>
          <w:lang w:val="nl-NL"/>
        </w:rPr>
        <w:t>wel engagement</w:t>
      </w:r>
      <w:r w:rsidR="00BF74F0">
        <w:rPr>
          <w:lang w:val="nl-NL"/>
        </w:rPr>
        <w:t xml:space="preserve"> uit te voeren met</w:t>
      </w:r>
      <w:r w:rsidR="00CA339C" w:rsidRPr="00C42373">
        <w:rPr>
          <w:lang w:val="nl-NL"/>
        </w:rPr>
        <w:t xml:space="preserve"> Zijin Mining Group, maar rond andere controverses</w:t>
      </w:r>
      <w:r w:rsidR="00BF74F0">
        <w:rPr>
          <w:lang w:val="nl-NL"/>
        </w:rPr>
        <w:t xml:space="preserve"> dan de Kamoa-mijn</w:t>
      </w:r>
      <w:r w:rsidR="00CA339C" w:rsidRPr="00C42373">
        <w:rPr>
          <w:lang w:val="nl-NL"/>
        </w:rPr>
        <w:t>.</w:t>
      </w:r>
    </w:p>
    <w:p w14:paraId="54EDB0C6" w14:textId="250E1923" w:rsidR="00D16A53" w:rsidRPr="00C42373" w:rsidRDefault="000976A0" w:rsidP="00D16A53">
      <w:pPr>
        <w:pStyle w:val="EGWHeading2"/>
        <w:rPr>
          <w:lang w:val="nl-NL"/>
        </w:rPr>
      </w:pPr>
      <w:r>
        <w:rPr>
          <w:lang w:val="nl-NL"/>
        </w:rPr>
        <w:t>Reacties financiële instellingen op het rapport</w:t>
      </w:r>
      <w:r w:rsidR="00D16A53" w:rsidRPr="00C42373">
        <w:rPr>
          <w:lang w:val="nl-NL"/>
        </w:rPr>
        <w:t xml:space="preserve"> </w:t>
      </w:r>
    </w:p>
    <w:p w14:paraId="3222BFCC" w14:textId="0D854C1C" w:rsidR="00601687" w:rsidRPr="00C42373" w:rsidRDefault="00601687" w:rsidP="000976A0">
      <w:pPr>
        <w:jc w:val="both"/>
        <w:rPr>
          <w:lang w:val="nl-NL"/>
        </w:rPr>
      </w:pPr>
      <w:r w:rsidRPr="00C42373">
        <w:rPr>
          <w:lang w:val="nl-NL"/>
        </w:rPr>
        <w:t xml:space="preserve">Financiële instellingen hebben </w:t>
      </w:r>
      <w:r>
        <w:rPr>
          <w:lang w:val="nl-NL"/>
        </w:rPr>
        <w:t xml:space="preserve">het rapport </w:t>
      </w:r>
      <w:r>
        <w:rPr>
          <w:i/>
          <w:iCs/>
          <w:lang w:val="nl-NL"/>
        </w:rPr>
        <w:t>De hoge prijs van koper uit Congo</w:t>
      </w:r>
      <w:r>
        <w:rPr>
          <w:lang w:val="nl-NL"/>
        </w:rPr>
        <w:t xml:space="preserve"> </w:t>
      </w:r>
      <w:r w:rsidR="00364086">
        <w:rPr>
          <w:lang w:val="nl-NL"/>
        </w:rPr>
        <w:t>voor publicatie onder</w:t>
      </w:r>
      <w:r>
        <w:rPr>
          <w:lang w:val="nl-NL"/>
        </w:rPr>
        <w:t xml:space="preserve"> embargo </w:t>
      </w:r>
      <w:r w:rsidR="00364086">
        <w:rPr>
          <w:lang w:val="nl-NL"/>
        </w:rPr>
        <w:t>ontvangen om de</w:t>
      </w:r>
      <w:r w:rsidRPr="00C42373">
        <w:rPr>
          <w:lang w:val="nl-NL"/>
        </w:rPr>
        <w:t xml:space="preserve"> informatie </w:t>
      </w:r>
      <w:r w:rsidR="00364086">
        <w:rPr>
          <w:lang w:val="nl-NL"/>
        </w:rPr>
        <w:t>van het rapport t</w:t>
      </w:r>
      <w:r w:rsidRPr="00C42373">
        <w:rPr>
          <w:lang w:val="nl-NL"/>
        </w:rPr>
        <w:t>e controleren</w:t>
      </w:r>
      <w:r w:rsidR="00364086">
        <w:rPr>
          <w:lang w:val="nl-NL"/>
        </w:rPr>
        <w:t xml:space="preserve"> op feitelijke onjuistheden</w:t>
      </w:r>
      <w:r w:rsidRPr="00C42373">
        <w:rPr>
          <w:lang w:val="nl-NL"/>
        </w:rPr>
        <w:t xml:space="preserve">. </w:t>
      </w:r>
      <w:r w:rsidR="00D16A53" w:rsidRPr="00C42373">
        <w:rPr>
          <w:lang w:val="nl-NL"/>
        </w:rPr>
        <w:t>Zij hebben hier geen wijzigingen in aangebracht.</w:t>
      </w:r>
      <w:r w:rsidRPr="00C42373">
        <w:rPr>
          <w:lang w:val="nl-NL"/>
        </w:rPr>
        <w:t xml:space="preserve"> </w:t>
      </w:r>
    </w:p>
    <w:p w14:paraId="4A4BB469" w14:textId="77777777" w:rsidR="005C067E" w:rsidRPr="00C42373" w:rsidRDefault="005C067E" w:rsidP="005C067E">
      <w:pPr>
        <w:pStyle w:val="EGWHeading2"/>
        <w:rPr>
          <w:lang w:val="nl-NL"/>
        </w:rPr>
      </w:pPr>
      <w:r w:rsidRPr="00C42373">
        <w:rPr>
          <w:lang w:val="nl-NL"/>
        </w:rPr>
        <w:t>Disclaimer</w:t>
      </w:r>
    </w:p>
    <w:p w14:paraId="1E4B02C2" w14:textId="77777777" w:rsidR="007E7B31" w:rsidRPr="00C42373" w:rsidRDefault="005C067E" w:rsidP="005C067E">
      <w:pPr>
        <w:rPr>
          <w:lang w:val="nl-NL"/>
        </w:rPr>
      </w:pPr>
      <w:r w:rsidRPr="00C42373">
        <w:rPr>
          <w:lang w:val="nl-NL"/>
        </w:rPr>
        <w:t>Niet alle coalitieleden van de Eerlijke Geldwijzer werken aan alle thema's en/of sectoren waarop het onderzoek van de Eerlijke Geldwijzer zich richt. Standpunten over specifieke thema's weerspiegelen daarom niet noodzakelijkerwijs de mening van alle coalitieleden van de Eerlijke Geldwijzer.</w:t>
      </w:r>
    </w:p>
    <w:p w14:paraId="7D28FF03" w14:textId="77777777" w:rsidR="007E7B31" w:rsidRPr="00C42373" w:rsidRDefault="007E7B31">
      <w:pPr>
        <w:spacing w:before="0" w:after="0"/>
        <w:rPr>
          <w:lang w:val="nl-NL"/>
        </w:rPr>
      </w:pPr>
      <w:r w:rsidRPr="00C42373">
        <w:rPr>
          <w:lang w:val="nl-NL"/>
        </w:rPr>
        <w:br w:type="page"/>
      </w:r>
    </w:p>
    <w:p w14:paraId="28CC158B" w14:textId="77777777" w:rsidR="007E7B31" w:rsidRPr="00C42373" w:rsidRDefault="007E7B31" w:rsidP="007E7B31">
      <w:pPr>
        <w:pStyle w:val="EGWHeading1Chapternumber"/>
        <w:rPr>
          <w:lang w:val="nl-NL"/>
        </w:rPr>
      </w:pPr>
    </w:p>
    <w:p w14:paraId="38634E49" w14:textId="676E3604" w:rsidR="007E7B31" w:rsidRPr="00C42373" w:rsidRDefault="007E7B31" w:rsidP="007E7B31">
      <w:pPr>
        <w:pStyle w:val="EGWHeading1"/>
        <w:rPr>
          <w:lang w:val="nl-NL"/>
        </w:rPr>
      </w:pPr>
      <w:r w:rsidRPr="00C42373">
        <w:rPr>
          <w:lang w:val="nl-NL"/>
        </w:rPr>
        <w:t>Aanbevelingen</w:t>
      </w:r>
    </w:p>
    <w:p w14:paraId="78021F90" w14:textId="32DBEE92" w:rsidR="00D45722" w:rsidRPr="00C42373" w:rsidRDefault="00D45722" w:rsidP="00D45722">
      <w:pPr>
        <w:pStyle w:val="EGWHeading2"/>
        <w:rPr>
          <w:lang w:val="nl-NL"/>
        </w:rPr>
      </w:pPr>
      <w:r w:rsidRPr="00C42373">
        <w:rPr>
          <w:lang w:val="nl-NL"/>
        </w:rPr>
        <w:t>Aanbevelingen voor financiële instellingen</w:t>
      </w:r>
    </w:p>
    <w:p w14:paraId="330FE279" w14:textId="2F27AA44" w:rsidR="00D45722" w:rsidRPr="00C42373" w:rsidRDefault="00D45722" w:rsidP="00D45722">
      <w:pPr>
        <w:jc w:val="both"/>
        <w:rPr>
          <w:lang w:val="nl-NL"/>
        </w:rPr>
      </w:pPr>
      <w:r w:rsidRPr="00C42373">
        <w:rPr>
          <w:lang w:val="nl-NL"/>
        </w:rPr>
        <w:t>De Eerlijke Geldwijzer roept de financiële instellingen op serieus werk te maken van hun verantwoordelijkheid om mensenrechten te respecteren</w:t>
      </w:r>
      <w:r w:rsidR="003A7DF8" w:rsidRPr="00C42373">
        <w:rPr>
          <w:lang w:val="nl-NL"/>
        </w:rPr>
        <w:t xml:space="preserve"> en de</w:t>
      </w:r>
      <w:r w:rsidRPr="00C42373">
        <w:rPr>
          <w:lang w:val="nl-NL"/>
        </w:rPr>
        <w:t xml:space="preserve"> UN Guiding Principles on Business and Human Rights (UNGP’s) en de OESO-richtlijnen voor Multinationale Ondernemingen </w:t>
      </w:r>
      <w:r w:rsidR="003A7DF8" w:rsidRPr="00C42373">
        <w:rPr>
          <w:lang w:val="nl-NL"/>
        </w:rPr>
        <w:t xml:space="preserve">volledig te integreren in hun beleid en praktijk. </w:t>
      </w:r>
      <w:r w:rsidR="008A569A" w:rsidRPr="00C42373">
        <w:rPr>
          <w:lang w:val="nl-NL"/>
        </w:rPr>
        <w:t xml:space="preserve">Ook dienen financiële instellingen </w:t>
      </w:r>
      <w:r w:rsidR="00D612A5" w:rsidRPr="00C42373">
        <w:rPr>
          <w:lang w:val="nl-NL"/>
        </w:rPr>
        <w:t xml:space="preserve">een betekenisvolle dialoog te onderhouden met </w:t>
      </w:r>
      <w:r w:rsidR="008A569A" w:rsidRPr="00C42373">
        <w:rPr>
          <w:lang w:val="nl-NL"/>
        </w:rPr>
        <w:t>het maatschappelijk middenveld</w:t>
      </w:r>
      <w:r w:rsidR="00EE5093" w:rsidRPr="00C42373">
        <w:rPr>
          <w:lang w:val="nl-NL"/>
        </w:rPr>
        <w:t xml:space="preserve"> en open te staan voor </w:t>
      </w:r>
      <w:r w:rsidR="00CE03A7" w:rsidRPr="00C42373">
        <w:rPr>
          <w:lang w:val="nl-NL"/>
        </w:rPr>
        <w:t>uitwisseling over misstanden bij de bedrijven waar zij in investeren.</w:t>
      </w:r>
    </w:p>
    <w:p w14:paraId="036FFCA0" w14:textId="4FB8CCCF" w:rsidR="00D45722" w:rsidRPr="00C42373" w:rsidRDefault="00D45722" w:rsidP="00D45722">
      <w:pPr>
        <w:jc w:val="both"/>
        <w:rPr>
          <w:lang w:val="nl-NL"/>
        </w:rPr>
      </w:pPr>
      <w:r w:rsidRPr="00C42373">
        <w:rPr>
          <w:lang w:val="nl-NL"/>
        </w:rPr>
        <w:t>Daarnaast roepen we financiële instellingen op om hun invloed aan te wenden en tot engagement met Ivanhoe Mines en Zijin Mining Group over te gaan</w:t>
      </w:r>
      <w:r w:rsidR="00330C23" w:rsidRPr="00C42373">
        <w:rPr>
          <w:lang w:val="nl-NL"/>
        </w:rPr>
        <w:t xml:space="preserve"> naar aanleiding van de mensenrechtenschendingen bij de Kamoa-mijn</w:t>
      </w:r>
      <w:r w:rsidRPr="00C42373">
        <w:rPr>
          <w:lang w:val="nl-NL"/>
        </w:rPr>
        <w:t xml:space="preserve">. </w:t>
      </w:r>
      <w:r w:rsidR="00330C23" w:rsidRPr="00C42373">
        <w:rPr>
          <w:lang w:val="nl-NL"/>
        </w:rPr>
        <w:t xml:space="preserve">Daarbij dienen tussen- en einddoelen gesteld te worden, uitkomsten gemonitord en de bevindingen gepubliceerd, conform de UNGP’s. </w:t>
      </w:r>
      <w:r w:rsidRPr="00C42373">
        <w:rPr>
          <w:lang w:val="nl-NL"/>
        </w:rPr>
        <w:t>In dat engagement dienen de volgende aanbevelingen</w:t>
      </w:r>
      <w:r w:rsidR="00FC2F2D" w:rsidRPr="00C42373">
        <w:rPr>
          <w:lang w:val="nl-NL"/>
        </w:rPr>
        <w:t xml:space="preserve">, opgesteld </w:t>
      </w:r>
      <w:r w:rsidR="00320D45" w:rsidRPr="00C42373">
        <w:rPr>
          <w:lang w:val="nl-NL"/>
        </w:rPr>
        <w:t>door</w:t>
      </w:r>
      <w:r w:rsidR="002D3200" w:rsidRPr="00C42373">
        <w:rPr>
          <w:lang w:val="nl-NL"/>
        </w:rPr>
        <w:t xml:space="preserve"> </w:t>
      </w:r>
      <w:r w:rsidR="00FC2F2D" w:rsidRPr="00C42373">
        <w:rPr>
          <w:lang w:val="nl-NL"/>
        </w:rPr>
        <w:t>de lokale ngo IBGDH,</w:t>
      </w:r>
      <w:r w:rsidRPr="00C42373">
        <w:rPr>
          <w:lang w:val="nl-NL"/>
        </w:rPr>
        <w:t xml:space="preserve"> voor deze twee bedrijven centraal te staan: </w:t>
      </w:r>
    </w:p>
    <w:p w14:paraId="7EF3BD5E" w14:textId="10A5D858" w:rsidR="00330C23" w:rsidRPr="00C42373" w:rsidRDefault="00330C23" w:rsidP="0065181D">
      <w:pPr>
        <w:pStyle w:val="ListParagraph"/>
        <w:numPr>
          <w:ilvl w:val="0"/>
          <w:numId w:val="20"/>
        </w:numPr>
        <w:jc w:val="both"/>
        <w:rPr>
          <w:rFonts w:ascii="Roboto" w:hAnsi="Roboto"/>
          <w:sz w:val="22"/>
          <w:szCs w:val="22"/>
          <w:lang w:val="nl-NL"/>
        </w:rPr>
      </w:pPr>
      <w:r w:rsidRPr="00C42373">
        <w:rPr>
          <w:rFonts w:ascii="Roboto" w:hAnsi="Roboto"/>
          <w:b/>
          <w:bCs/>
          <w:sz w:val="22"/>
          <w:szCs w:val="22"/>
          <w:lang w:val="nl-NL"/>
        </w:rPr>
        <w:t xml:space="preserve">Waarborgen dat Kamoa Copper geen </w:t>
      </w:r>
      <w:r w:rsidR="003443CD">
        <w:rPr>
          <w:rFonts w:ascii="Roboto" w:hAnsi="Roboto"/>
          <w:b/>
          <w:bCs/>
          <w:sz w:val="22"/>
          <w:szCs w:val="22"/>
          <w:lang w:val="nl-NL"/>
        </w:rPr>
        <w:t xml:space="preserve">juridische stappen meer onderneemt tegen </w:t>
      </w:r>
      <w:r w:rsidRPr="00C42373">
        <w:rPr>
          <w:rFonts w:ascii="Roboto" w:hAnsi="Roboto"/>
          <w:b/>
          <w:bCs/>
          <w:sz w:val="22"/>
          <w:szCs w:val="22"/>
          <w:lang w:val="nl-NL"/>
        </w:rPr>
        <w:t>vreedzame</w:t>
      </w:r>
      <w:r w:rsidR="00D45722" w:rsidRPr="00C42373">
        <w:rPr>
          <w:rFonts w:ascii="Roboto" w:hAnsi="Roboto"/>
          <w:b/>
          <w:bCs/>
          <w:sz w:val="22"/>
          <w:szCs w:val="22"/>
          <w:lang w:val="nl-NL"/>
        </w:rPr>
        <w:t xml:space="preserve"> activisten.</w:t>
      </w:r>
      <w:r w:rsidR="00D45722" w:rsidRPr="00C42373">
        <w:rPr>
          <w:rFonts w:ascii="Roboto" w:hAnsi="Roboto"/>
          <w:sz w:val="22"/>
          <w:szCs w:val="22"/>
          <w:lang w:val="nl-NL"/>
        </w:rPr>
        <w:t xml:space="preserve"> Kamoa Copper zou zich publiekelijk moeten uitspreken om nooit meer juridische stappen te ondernemen tegen leden van de lokale gemeenschappen vanwege vreedzame bijeenkomsten en protesten. Alle slachtoffers van de willekeurige arrestaties en detenties zouden passende genoegdoening moeten krijgen voor de geleden materiële en immateriële schade.</w:t>
      </w:r>
    </w:p>
    <w:p w14:paraId="0E1B9F13" w14:textId="739F912B" w:rsidR="00330C23" w:rsidRPr="00C42373" w:rsidRDefault="00330C23" w:rsidP="0065181D">
      <w:pPr>
        <w:pStyle w:val="ListParagraph"/>
        <w:numPr>
          <w:ilvl w:val="0"/>
          <w:numId w:val="20"/>
        </w:numPr>
        <w:jc w:val="both"/>
        <w:rPr>
          <w:rFonts w:ascii="Roboto" w:hAnsi="Roboto"/>
          <w:sz w:val="22"/>
          <w:szCs w:val="22"/>
          <w:lang w:val="nl-NL"/>
        </w:rPr>
      </w:pPr>
      <w:r w:rsidRPr="00C42373">
        <w:rPr>
          <w:rFonts w:ascii="Roboto" w:hAnsi="Roboto"/>
          <w:b/>
          <w:bCs/>
          <w:sz w:val="22"/>
          <w:szCs w:val="22"/>
          <w:lang w:val="nl-NL"/>
        </w:rPr>
        <w:t>Garanderen van s</w:t>
      </w:r>
      <w:r w:rsidR="00D45722" w:rsidRPr="00C42373">
        <w:rPr>
          <w:rFonts w:ascii="Roboto" w:hAnsi="Roboto"/>
          <w:b/>
          <w:bCs/>
          <w:sz w:val="22"/>
          <w:szCs w:val="22"/>
          <w:lang w:val="nl-NL"/>
        </w:rPr>
        <w:t>choon drinkwater</w:t>
      </w:r>
      <w:r w:rsidRPr="00C42373">
        <w:rPr>
          <w:rFonts w:ascii="Roboto" w:hAnsi="Roboto"/>
          <w:b/>
          <w:bCs/>
          <w:sz w:val="22"/>
          <w:szCs w:val="22"/>
          <w:lang w:val="nl-NL"/>
        </w:rPr>
        <w:t xml:space="preserve">. </w:t>
      </w:r>
      <w:r w:rsidRPr="00C42373">
        <w:rPr>
          <w:rFonts w:ascii="Roboto" w:hAnsi="Roboto"/>
          <w:sz w:val="22"/>
          <w:szCs w:val="22"/>
          <w:lang w:val="nl-NL"/>
        </w:rPr>
        <w:t>Kamoa Copper dient zorg te dragen dat getroffen gemeenschappen toegang hebben tot schoon drinkwater. Ook dient Kamoa Copper de waterkwaliteit systematisch te testen en publiek te maken. Vervuilende industriële lozingen dienen voorkomen te worden.</w:t>
      </w:r>
    </w:p>
    <w:p w14:paraId="074173ED" w14:textId="33CF2616" w:rsidR="002F5380" w:rsidRPr="00C42373" w:rsidRDefault="002F5380" w:rsidP="0065181D">
      <w:pPr>
        <w:pStyle w:val="ListParagraph"/>
        <w:numPr>
          <w:ilvl w:val="0"/>
          <w:numId w:val="20"/>
        </w:numPr>
        <w:jc w:val="both"/>
        <w:rPr>
          <w:rFonts w:ascii="Roboto" w:hAnsi="Roboto"/>
          <w:sz w:val="22"/>
          <w:szCs w:val="22"/>
          <w:lang w:val="nl-NL"/>
        </w:rPr>
      </w:pPr>
      <w:r w:rsidRPr="00C42373">
        <w:rPr>
          <w:rFonts w:ascii="Roboto" w:hAnsi="Roboto"/>
          <w:b/>
          <w:bCs/>
          <w:sz w:val="22"/>
          <w:szCs w:val="22"/>
          <w:lang w:val="nl-NL"/>
        </w:rPr>
        <w:t>Zorgvuldige h</w:t>
      </w:r>
      <w:r w:rsidR="00D45722" w:rsidRPr="00C42373">
        <w:rPr>
          <w:rFonts w:ascii="Roboto" w:hAnsi="Roboto"/>
          <w:b/>
          <w:bCs/>
          <w:sz w:val="22"/>
          <w:szCs w:val="22"/>
          <w:lang w:val="nl-NL"/>
        </w:rPr>
        <w:t>erplaatsing</w:t>
      </w:r>
      <w:r w:rsidR="00330C23" w:rsidRPr="00C42373">
        <w:rPr>
          <w:rFonts w:ascii="Roboto" w:hAnsi="Roboto"/>
          <w:b/>
          <w:bCs/>
          <w:sz w:val="22"/>
          <w:szCs w:val="22"/>
          <w:lang w:val="nl-NL"/>
        </w:rPr>
        <w:t xml:space="preserve">. </w:t>
      </w:r>
      <w:r w:rsidR="00D45722" w:rsidRPr="00C42373">
        <w:rPr>
          <w:rFonts w:ascii="Roboto" w:hAnsi="Roboto"/>
          <w:sz w:val="22"/>
          <w:szCs w:val="22"/>
          <w:lang w:val="nl-NL"/>
        </w:rPr>
        <w:t xml:space="preserve">Kamoa Copper </w:t>
      </w:r>
      <w:r w:rsidRPr="00C42373">
        <w:rPr>
          <w:rFonts w:ascii="Roboto" w:hAnsi="Roboto"/>
          <w:sz w:val="22"/>
          <w:szCs w:val="22"/>
          <w:lang w:val="nl-NL"/>
        </w:rPr>
        <w:t>zou moeten</w:t>
      </w:r>
      <w:r w:rsidR="00D45722" w:rsidRPr="00C42373">
        <w:rPr>
          <w:rFonts w:ascii="Roboto" w:hAnsi="Roboto"/>
          <w:sz w:val="22"/>
          <w:szCs w:val="22"/>
          <w:lang w:val="nl-NL"/>
        </w:rPr>
        <w:t xml:space="preserve"> waarborgen dat de herplaatsingslocaties voldoen aan de internationale normen voor adequate huisvesting en leefomstandigheden (VN-Verdrag inzake Economische, Sociale en Culturele Rechten, Algemene Opmerking nr. 4). </w:t>
      </w:r>
      <w:r w:rsidR="00330C23" w:rsidRPr="00C42373">
        <w:rPr>
          <w:rFonts w:ascii="Roboto" w:hAnsi="Roboto"/>
          <w:sz w:val="22"/>
          <w:szCs w:val="22"/>
          <w:lang w:val="nl-NL"/>
        </w:rPr>
        <w:t xml:space="preserve">Dit gaat onder meer over: </w:t>
      </w:r>
      <w:r w:rsidR="00D45722" w:rsidRPr="00C42373">
        <w:rPr>
          <w:rFonts w:ascii="Roboto" w:hAnsi="Roboto"/>
          <w:sz w:val="22"/>
          <w:szCs w:val="22"/>
          <w:lang w:val="nl-NL"/>
        </w:rPr>
        <w:t>toegang tot veilig drinkwater, sanitaire voorzieningen, gezondheidszorg</w:t>
      </w:r>
      <w:r w:rsidR="00330C23" w:rsidRPr="00C42373">
        <w:rPr>
          <w:rFonts w:ascii="Roboto" w:hAnsi="Roboto"/>
          <w:sz w:val="22"/>
          <w:szCs w:val="22"/>
          <w:lang w:val="nl-NL"/>
        </w:rPr>
        <w:t xml:space="preserve">, </w:t>
      </w:r>
      <w:r w:rsidR="00D45722" w:rsidRPr="00C42373">
        <w:rPr>
          <w:rFonts w:ascii="Roboto" w:hAnsi="Roboto"/>
          <w:sz w:val="22"/>
          <w:szCs w:val="22"/>
          <w:lang w:val="nl-NL"/>
        </w:rPr>
        <w:t xml:space="preserve">onderwijs </w:t>
      </w:r>
      <w:r w:rsidR="00330C23" w:rsidRPr="00C42373">
        <w:rPr>
          <w:rFonts w:ascii="Roboto" w:hAnsi="Roboto"/>
          <w:sz w:val="22"/>
          <w:szCs w:val="22"/>
          <w:lang w:val="nl-NL"/>
        </w:rPr>
        <w:t xml:space="preserve">en elektriciteit </w:t>
      </w:r>
      <w:r w:rsidR="00D45722" w:rsidRPr="00C42373">
        <w:rPr>
          <w:rFonts w:ascii="Roboto" w:hAnsi="Roboto"/>
          <w:sz w:val="22"/>
          <w:szCs w:val="22"/>
          <w:lang w:val="nl-NL"/>
        </w:rPr>
        <w:t>op de herplaatsingslocaties</w:t>
      </w:r>
      <w:r w:rsidR="00330C23" w:rsidRPr="00C42373">
        <w:rPr>
          <w:rFonts w:ascii="Roboto" w:hAnsi="Roboto"/>
          <w:sz w:val="22"/>
          <w:szCs w:val="22"/>
          <w:lang w:val="nl-NL"/>
        </w:rPr>
        <w:t>.</w:t>
      </w:r>
    </w:p>
    <w:p w14:paraId="1A77FF0C" w14:textId="082A5353" w:rsidR="002F5380" w:rsidRPr="00C42373" w:rsidRDefault="002F5380" w:rsidP="0065181D">
      <w:pPr>
        <w:pStyle w:val="ListParagraph"/>
        <w:numPr>
          <w:ilvl w:val="0"/>
          <w:numId w:val="20"/>
        </w:numPr>
        <w:jc w:val="both"/>
        <w:rPr>
          <w:rFonts w:ascii="Roboto" w:hAnsi="Roboto"/>
          <w:sz w:val="22"/>
          <w:szCs w:val="22"/>
          <w:lang w:val="nl-NL"/>
        </w:rPr>
      </w:pPr>
      <w:r w:rsidRPr="00C42373">
        <w:rPr>
          <w:rFonts w:ascii="Roboto" w:hAnsi="Roboto"/>
          <w:b/>
          <w:bCs/>
          <w:sz w:val="22"/>
          <w:szCs w:val="22"/>
          <w:lang w:val="nl-NL"/>
        </w:rPr>
        <w:t>Bestaansmiddelen.</w:t>
      </w:r>
      <w:r w:rsidRPr="00C42373">
        <w:rPr>
          <w:rFonts w:ascii="Roboto" w:hAnsi="Roboto"/>
          <w:sz w:val="22"/>
          <w:szCs w:val="22"/>
          <w:lang w:val="nl-NL"/>
        </w:rPr>
        <w:t xml:space="preserve"> </w:t>
      </w:r>
      <w:r w:rsidR="00330C23" w:rsidRPr="00C42373">
        <w:rPr>
          <w:rFonts w:ascii="Roboto" w:hAnsi="Roboto"/>
          <w:sz w:val="22"/>
          <w:szCs w:val="22"/>
          <w:lang w:val="nl-NL"/>
        </w:rPr>
        <w:t>V</w:t>
      </w:r>
      <w:r w:rsidR="00D45722" w:rsidRPr="00C42373">
        <w:rPr>
          <w:rFonts w:ascii="Roboto" w:hAnsi="Roboto"/>
          <w:sz w:val="22"/>
          <w:szCs w:val="22"/>
          <w:lang w:val="nl-NL"/>
        </w:rPr>
        <w:t>ervangend land</w:t>
      </w:r>
      <w:r w:rsidR="003443CD">
        <w:rPr>
          <w:rFonts w:ascii="Roboto" w:hAnsi="Roboto"/>
          <w:sz w:val="22"/>
          <w:szCs w:val="22"/>
          <w:lang w:val="nl-NL"/>
        </w:rPr>
        <w:t xml:space="preserve"> en landbouwgrond</w:t>
      </w:r>
      <w:r w:rsidR="00D45722" w:rsidRPr="00C42373">
        <w:rPr>
          <w:rFonts w:ascii="Roboto" w:hAnsi="Roboto"/>
          <w:sz w:val="22"/>
          <w:szCs w:val="22"/>
          <w:lang w:val="nl-NL"/>
        </w:rPr>
        <w:t xml:space="preserve"> </w:t>
      </w:r>
      <w:r w:rsidR="00330C23" w:rsidRPr="00C42373">
        <w:rPr>
          <w:rFonts w:ascii="Roboto" w:hAnsi="Roboto"/>
          <w:sz w:val="22"/>
          <w:szCs w:val="22"/>
          <w:lang w:val="nl-NL"/>
        </w:rPr>
        <w:t xml:space="preserve">dient </w:t>
      </w:r>
      <w:r w:rsidR="00D45722" w:rsidRPr="00C42373">
        <w:rPr>
          <w:rFonts w:ascii="Roboto" w:hAnsi="Roboto"/>
          <w:sz w:val="22"/>
          <w:szCs w:val="22"/>
          <w:lang w:val="nl-NL"/>
        </w:rPr>
        <w:t>van gelijke of betere kwaliteit zijn met vaste eigendomsrechten, en gemeenschappen moeten meerjarige ondersteuning voor landbouw- en inkomensherstel ontvangen totdat de levensomstandigheden aantoonbaar zijn hersteld</w:t>
      </w:r>
      <w:r w:rsidRPr="00C42373">
        <w:rPr>
          <w:rFonts w:ascii="Roboto" w:hAnsi="Roboto"/>
          <w:sz w:val="22"/>
          <w:szCs w:val="22"/>
          <w:lang w:val="nl-NL"/>
        </w:rPr>
        <w:t>.</w:t>
      </w:r>
      <w:r w:rsidR="00D45722" w:rsidRPr="00C42373">
        <w:rPr>
          <w:rFonts w:ascii="Roboto" w:hAnsi="Roboto"/>
          <w:sz w:val="22"/>
          <w:szCs w:val="22"/>
          <w:lang w:val="nl-NL"/>
        </w:rPr>
        <w:t xml:space="preserve"> </w:t>
      </w:r>
    </w:p>
    <w:p w14:paraId="0B8B3CC6" w14:textId="7809B75B" w:rsidR="00D45722" w:rsidRPr="00C42373" w:rsidRDefault="002F5380" w:rsidP="0065181D">
      <w:pPr>
        <w:pStyle w:val="ListParagraph"/>
        <w:numPr>
          <w:ilvl w:val="0"/>
          <w:numId w:val="20"/>
        </w:numPr>
        <w:jc w:val="both"/>
        <w:rPr>
          <w:rFonts w:ascii="Roboto" w:hAnsi="Roboto"/>
          <w:sz w:val="22"/>
          <w:szCs w:val="22"/>
          <w:lang w:val="nl-NL"/>
        </w:rPr>
      </w:pPr>
      <w:r w:rsidRPr="00C42373">
        <w:rPr>
          <w:rFonts w:ascii="Roboto" w:hAnsi="Roboto"/>
          <w:b/>
          <w:bCs/>
          <w:sz w:val="22"/>
          <w:szCs w:val="22"/>
          <w:lang w:val="nl-NL"/>
        </w:rPr>
        <w:t>K</w:t>
      </w:r>
      <w:r w:rsidR="00D45722" w:rsidRPr="00C42373">
        <w:rPr>
          <w:rFonts w:ascii="Roboto" w:hAnsi="Roboto"/>
          <w:b/>
          <w:bCs/>
          <w:sz w:val="22"/>
          <w:szCs w:val="22"/>
          <w:lang w:val="nl-NL"/>
        </w:rPr>
        <w:t>lachtenmechanismen</w:t>
      </w:r>
      <w:r w:rsidRPr="00C42373">
        <w:rPr>
          <w:rFonts w:ascii="Roboto" w:hAnsi="Roboto"/>
          <w:b/>
          <w:bCs/>
          <w:sz w:val="22"/>
          <w:szCs w:val="22"/>
          <w:lang w:val="nl-NL"/>
        </w:rPr>
        <w:t xml:space="preserve"> en compensatie. </w:t>
      </w:r>
      <w:r w:rsidRPr="00C42373">
        <w:rPr>
          <w:rFonts w:ascii="Roboto" w:hAnsi="Roboto"/>
          <w:sz w:val="22"/>
          <w:szCs w:val="22"/>
          <w:lang w:val="nl-NL"/>
        </w:rPr>
        <w:t>Het klachtenmechanisme van Kamoa Copper dient toegankelijk te zijn</w:t>
      </w:r>
      <w:r w:rsidR="00F45CE7" w:rsidRPr="00C42373">
        <w:rPr>
          <w:rFonts w:ascii="Roboto" w:hAnsi="Roboto"/>
          <w:sz w:val="22"/>
          <w:szCs w:val="22"/>
          <w:lang w:val="nl-NL"/>
        </w:rPr>
        <w:t xml:space="preserve"> voor alle getroffenen</w:t>
      </w:r>
      <w:r w:rsidRPr="00C42373">
        <w:rPr>
          <w:rFonts w:ascii="Roboto" w:hAnsi="Roboto"/>
          <w:sz w:val="22"/>
          <w:szCs w:val="22"/>
          <w:lang w:val="nl-NL"/>
        </w:rPr>
        <w:t>. Ook dient Kamoa Copper transparant te rapporteren over klachten en o</w:t>
      </w:r>
      <w:r w:rsidR="00D45722" w:rsidRPr="00C42373">
        <w:rPr>
          <w:rFonts w:ascii="Roboto" w:hAnsi="Roboto"/>
          <w:sz w:val="22"/>
          <w:szCs w:val="22"/>
          <w:lang w:val="nl-NL"/>
        </w:rPr>
        <w:t xml:space="preserve">nafhankelijk toezicht op de klachtenprocedure </w:t>
      </w:r>
      <w:r w:rsidR="0038641D" w:rsidRPr="00C42373">
        <w:rPr>
          <w:rFonts w:ascii="Roboto" w:hAnsi="Roboto"/>
          <w:sz w:val="22"/>
          <w:szCs w:val="22"/>
          <w:lang w:val="nl-NL"/>
        </w:rPr>
        <w:t xml:space="preserve">te </w:t>
      </w:r>
      <w:r w:rsidR="00D45722" w:rsidRPr="00C42373">
        <w:rPr>
          <w:rFonts w:ascii="Roboto" w:hAnsi="Roboto"/>
          <w:sz w:val="22"/>
          <w:szCs w:val="22"/>
          <w:lang w:val="nl-NL"/>
        </w:rPr>
        <w:t>creëren.</w:t>
      </w:r>
      <w:r w:rsidRPr="00C42373">
        <w:rPr>
          <w:rFonts w:ascii="Roboto" w:hAnsi="Roboto"/>
          <w:sz w:val="22"/>
          <w:szCs w:val="22"/>
          <w:lang w:val="nl-NL"/>
        </w:rPr>
        <w:t xml:space="preserve"> Getroffenen dienen adequaat gecompenseerd te worden.</w:t>
      </w:r>
      <w:r w:rsidR="00D45722" w:rsidRPr="00C42373">
        <w:rPr>
          <w:rFonts w:ascii="Roboto" w:hAnsi="Roboto"/>
          <w:color w:val="3C4043"/>
          <w:sz w:val="22"/>
          <w:szCs w:val="22"/>
          <w:shd w:val="clear" w:color="auto" w:fill="D2E3FC"/>
          <w:lang w:val="nl-NL"/>
        </w:rPr>
        <w:t xml:space="preserve"> </w:t>
      </w:r>
    </w:p>
    <w:p w14:paraId="47115D67" w14:textId="430AABAB" w:rsidR="00D45722" w:rsidRPr="00C42373" w:rsidRDefault="00611C4D" w:rsidP="0035485D">
      <w:pPr>
        <w:spacing w:before="0" w:after="0"/>
        <w:rPr>
          <w:lang w:val="nl-NL"/>
        </w:rPr>
      </w:pPr>
      <w:r w:rsidRPr="00C42373">
        <w:rPr>
          <w:lang w:val="nl-NL"/>
        </w:rPr>
        <w:br w:type="page"/>
      </w:r>
    </w:p>
    <w:p w14:paraId="00829AD2" w14:textId="05C3D758" w:rsidR="00D45722" w:rsidRPr="00C42373" w:rsidRDefault="00D45722" w:rsidP="00D45722">
      <w:pPr>
        <w:pStyle w:val="EGWHeading2"/>
        <w:rPr>
          <w:lang w:val="nl-NL"/>
        </w:rPr>
      </w:pPr>
      <w:r w:rsidRPr="00C42373">
        <w:rPr>
          <w:lang w:val="nl-NL"/>
        </w:rPr>
        <w:lastRenderedPageBreak/>
        <w:t>Aanbevelingen voor de Nederlandse overheid</w:t>
      </w:r>
    </w:p>
    <w:p w14:paraId="4EA8E462" w14:textId="0D304872" w:rsidR="002F5380" w:rsidRPr="00C42373" w:rsidRDefault="002F5380" w:rsidP="0065181D">
      <w:pPr>
        <w:pStyle w:val="ListParagraph"/>
        <w:numPr>
          <w:ilvl w:val="0"/>
          <w:numId w:val="21"/>
        </w:numPr>
        <w:jc w:val="both"/>
        <w:rPr>
          <w:rFonts w:ascii="Roboto" w:hAnsi="Roboto"/>
          <w:sz w:val="22"/>
          <w:szCs w:val="22"/>
          <w:lang w:val="nl-NL"/>
        </w:rPr>
      </w:pPr>
      <w:r w:rsidRPr="00C42373">
        <w:rPr>
          <w:rFonts w:ascii="Roboto" w:hAnsi="Roboto"/>
          <w:b/>
          <w:bCs/>
          <w:sz w:val="22"/>
          <w:szCs w:val="22"/>
          <w:lang w:val="nl-NL"/>
        </w:rPr>
        <w:t>We roepen de Nederlandse overheid op wettelijke verplichtingen aan financiële instellingen op te leggen, zodat zij gehouden zijn om gepaste zorgvuldigheid (due diligence) toe te passen in hun investeringspraktijk.</w:t>
      </w:r>
      <w:r w:rsidRPr="00C42373">
        <w:rPr>
          <w:rFonts w:ascii="Roboto" w:hAnsi="Roboto"/>
          <w:sz w:val="22"/>
          <w:szCs w:val="22"/>
          <w:lang w:val="nl-NL"/>
        </w:rPr>
        <w:t xml:space="preserve"> In het bijzonder dienen financiële instellingen een adequate strategie te hebben op mijnbouw. Deze strategie </w:t>
      </w:r>
      <w:r w:rsidR="004C309C" w:rsidRPr="00C42373">
        <w:rPr>
          <w:rFonts w:ascii="Roboto" w:hAnsi="Roboto"/>
          <w:sz w:val="22"/>
          <w:szCs w:val="22"/>
          <w:lang w:val="nl-NL"/>
        </w:rPr>
        <w:t>dien</w:t>
      </w:r>
      <w:r w:rsidR="00597645" w:rsidRPr="00C42373">
        <w:rPr>
          <w:rFonts w:ascii="Roboto" w:hAnsi="Roboto"/>
          <w:sz w:val="22"/>
          <w:szCs w:val="22"/>
          <w:lang w:val="nl-NL"/>
        </w:rPr>
        <w:t>t</w:t>
      </w:r>
      <w:r w:rsidR="004376E3" w:rsidRPr="00C42373">
        <w:rPr>
          <w:rFonts w:ascii="Roboto" w:hAnsi="Roboto"/>
          <w:sz w:val="22"/>
          <w:szCs w:val="22"/>
          <w:lang w:val="nl-NL"/>
        </w:rPr>
        <w:t xml:space="preserve"> heldere stappen voor engagement te bevatten</w:t>
      </w:r>
      <w:r w:rsidRPr="00C42373">
        <w:rPr>
          <w:rFonts w:ascii="Roboto" w:hAnsi="Roboto"/>
          <w:sz w:val="22"/>
          <w:szCs w:val="22"/>
          <w:lang w:val="nl-NL"/>
        </w:rPr>
        <w:t xml:space="preserve"> met bedrijven die betrokken zijn </w:t>
      </w:r>
      <w:r w:rsidR="004C309C" w:rsidRPr="00C42373">
        <w:rPr>
          <w:rFonts w:ascii="Roboto" w:hAnsi="Roboto"/>
          <w:sz w:val="22"/>
          <w:szCs w:val="22"/>
          <w:lang w:val="nl-NL"/>
        </w:rPr>
        <w:t>bij</w:t>
      </w:r>
      <w:r w:rsidRPr="00C42373">
        <w:rPr>
          <w:rFonts w:ascii="Roboto" w:hAnsi="Roboto"/>
          <w:sz w:val="22"/>
          <w:szCs w:val="22"/>
          <w:lang w:val="nl-NL"/>
        </w:rPr>
        <w:t xml:space="preserve"> ernstige misstanden</w:t>
      </w:r>
      <w:r w:rsidR="00CE309C" w:rsidRPr="00C42373">
        <w:rPr>
          <w:rFonts w:ascii="Roboto" w:hAnsi="Roboto"/>
          <w:sz w:val="22"/>
          <w:szCs w:val="22"/>
          <w:lang w:val="nl-NL"/>
        </w:rPr>
        <w:t xml:space="preserve">. Afhankelijk van de casus zijn dat </w:t>
      </w:r>
      <w:r w:rsidRPr="00C42373">
        <w:rPr>
          <w:rFonts w:ascii="Roboto" w:hAnsi="Roboto"/>
          <w:sz w:val="22"/>
          <w:szCs w:val="22"/>
          <w:lang w:val="nl-NL"/>
        </w:rPr>
        <w:t>een concreet stappenplan met verwachtingen richting het bedrijf, met tijdlijnen, inclusief escalatie</w:t>
      </w:r>
      <w:r w:rsidR="00CE309C" w:rsidRPr="00C42373">
        <w:rPr>
          <w:rFonts w:ascii="Roboto" w:hAnsi="Roboto"/>
          <w:sz w:val="22"/>
          <w:szCs w:val="22"/>
          <w:lang w:val="nl-NL"/>
        </w:rPr>
        <w:t>.</w:t>
      </w:r>
    </w:p>
    <w:p w14:paraId="5107A55D" w14:textId="076FA2D0" w:rsidR="00BC575F" w:rsidRPr="00C42373" w:rsidRDefault="002F5380" w:rsidP="0065181D">
      <w:pPr>
        <w:pStyle w:val="ListParagraph"/>
        <w:numPr>
          <w:ilvl w:val="0"/>
          <w:numId w:val="21"/>
        </w:numPr>
        <w:spacing w:after="0"/>
        <w:jc w:val="both"/>
        <w:rPr>
          <w:rFonts w:ascii="Roboto" w:hAnsi="Roboto"/>
          <w:sz w:val="22"/>
          <w:szCs w:val="22"/>
          <w:lang w:val="nl-NL"/>
        </w:rPr>
        <w:sectPr w:rsidR="00BC575F" w:rsidRPr="00C42373" w:rsidSect="00CC606B">
          <w:headerReference w:type="default" r:id="rId13"/>
          <w:footerReference w:type="default" r:id="rId14"/>
          <w:footnotePr>
            <w:numFmt w:val="lowerRoman"/>
          </w:footnotePr>
          <w:endnotePr>
            <w:numFmt w:val="decimal"/>
          </w:endnotePr>
          <w:pgSz w:w="11905" w:h="16837" w:code="9"/>
          <w:pgMar w:top="1418" w:right="1134" w:bottom="1418" w:left="1134" w:header="851" w:footer="510" w:gutter="0"/>
          <w:pgNumType w:start="1"/>
          <w:cols w:space="708"/>
          <w:noEndnote/>
          <w:docGrid w:linePitch="299"/>
        </w:sectPr>
      </w:pPr>
      <w:r w:rsidRPr="00C42373">
        <w:rPr>
          <w:rFonts w:ascii="Roboto" w:hAnsi="Roboto"/>
          <w:b/>
          <w:bCs/>
          <w:sz w:val="22"/>
          <w:szCs w:val="22"/>
          <w:lang w:val="nl-NL"/>
        </w:rPr>
        <w:t xml:space="preserve">We roepen daarnaast op dat de Nederlandse overheid met nadruk op om ervoor te zorgen dat financiële instellingen transparant zijn over </w:t>
      </w:r>
      <w:r w:rsidR="002639CD" w:rsidRPr="00C42373">
        <w:rPr>
          <w:rFonts w:ascii="Roboto" w:hAnsi="Roboto"/>
          <w:b/>
          <w:bCs/>
          <w:sz w:val="22"/>
          <w:szCs w:val="22"/>
          <w:lang w:val="nl-NL"/>
        </w:rPr>
        <w:t xml:space="preserve">al </w:t>
      </w:r>
      <w:r w:rsidRPr="00C42373">
        <w:rPr>
          <w:rFonts w:ascii="Roboto" w:hAnsi="Roboto"/>
          <w:b/>
          <w:bCs/>
          <w:sz w:val="22"/>
          <w:szCs w:val="22"/>
          <w:lang w:val="nl-NL"/>
        </w:rPr>
        <w:t>hun investeringen en activiteiten</w:t>
      </w:r>
      <w:r w:rsidR="002639CD" w:rsidRPr="00C42373">
        <w:rPr>
          <w:rFonts w:ascii="Roboto" w:hAnsi="Roboto"/>
          <w:sz w:val="22"/>
          <w:szCs w:val="22"/>
          <w:lang w:val="nl-NL"/>
        </w:rPr>
        <w:t>, waaronder beleggingen en leningen,</w:t>
      </w:r>
      <w:r w:rsidR="0099476A" w:rsidRPr="00C42373">
        <w:rPr>
          <w:rFonts w:ascii="Roboto" w:hAnsi="Roboto"/>
          <w:sz w:val="22"/>
          <w:szCs w:val="22"/>
          <w:lang w:val="nl-NL"/>
        </w:rPr>
        <w:t xml:space="preserve"> en</w:t>
      </w:r>
      <w:r w:rsidRPr="00C42373">
        <w:rPr>
          <w:rFonts w:ascii="Roboto" w:hAnsi="Roboto"/>
          <w:sz w:val="22"/>
          <w:szCs w:val="22"/>
          <w:lang w:val="nl-NL"/>
        </w:rPr>
        <w:t xml:space="preserve"> </w:t>
      </w:r>
      <w:r w:rsidR="0099476A" w:rsidRPr="00C42373">
        <w:rPr>
          <w:rFonts w:ascii="Roboto" w:hAnsi="Roboto"/>
          <w:sz w:val="22"/>
          <w:szCs w:val="22"/>
          <w:lang w:val="nl-NL"/>
        </w:rPr>
        <w:t xml:space="preserve">over hun engagement-processen met bedrijven die betrokken zijn </w:t>
      </w:r>
      <w:r w:rsidR="002639CD" w:rsidRPr="00C42373">
        <w:rPr>
          <w:rFonts w:ascii="Roboto" w:hAnsi="Roboto"/>
          <w:sz w:val="22"/>
          <w:szCs w:val="22"/>
          <w:lang w:val="nl-NL"/>
        </w:rPr>
        <w:t xml:space="preserve">bij </w:t>
      </w:r>
      <w:r w:rsidR="0099476A" w:rsidRPr="00C42373">
        <w:rPr>
          <w:rFonts w:ascii="Roboto" w:hAnsi="Roboto"/>
          <w:sz w:val="22"/>
          <w:szCs w:val="22"/>
          <w:lang w:val="nl-NL"/>
        </w:rPr>
        <w:t>ernstige misstanden.</w:t>
      </w:r>
    </w:p>
    <w:p w14:paraId="7A709155" w14:textId="277631D4" w:rsidR="00946FE4" w:rsidRPr="00C42373" w:rsidRDefault="00F45D03" w:rsidP="0099476A">
      <w:pPr>
        <w:pStyle w:val="EGWHeadingSummary"/>
        <w:rPr>
          <w:lang w:val="nl-NL"/>
        </w:rPr>
        <w:sectPr w:rsidR="00946FE4" w:rsidRPr="00C42373" w:rsidSect="00CC606B">
          <w:footerReference w:type="default" r:id="rId15"/>
          <w:footnotePr>
            <w:numFmt w:val="lowerRoman"/>
          </w:footnotePr>
          <w:endnotePr>
            <w:numFmt w:val="decimal"/>
          </w:endnotePr>
          <w:pgSz w:w="11905" w:h="16837" w:code="9"/>
          <w:pgMar w:top="1418" w:right="1134" w:bottom="1418" w:left="1134" w:header="851" w:footer="510" w:gutter="0"/>
          <w:cols w:space="708"/>
          <w:docGrid w:linePitch="299"/>
        </w:sectPr>
      </w:pPr>
      <w:bookmarkStart w:id="5" w:name="_Toc76735558"/>
      <w:bookmarkStart w:id="6" w:name="_Toc164074358"/>
      <w:r w:rsidRPr="00C42373">
        <w:rPr>
          <w:lang w:val="nl-NL"/>
        </w:rPr>
        <w:lastRenderedPageBreak/>
        <w:t>Referen</w:t>
      </w:r>
      <w:bookmarkEnd w:id="5"/>
      <w:bookmarkEnd w:id="6"/>
      <w:r w:rsidR="00D61E22" w:rsidRPr="00C42373">
        <w:rPr>
          <w:lang w:val="nl-NL"/>
        </w:rPr>
        <w:t>ti</w:t>
      </w:r>
      <w:r w:rsidR="0099476A" w:rsidRPr="00C42373">
        <w:rPr>
          <w:lang w:val="nl-NL"/>
        </w:rPr>
        <w:t>e</w:t>
      </w:r>
      <w:r w:rsidR="00DC5E2D" w:rsidRPr="00C42373">
        <w:rPr>
          <w:lang w:val="nl-NL"/>
        </w:rPr>
        <w:t>s</w:t>
      </w:r>
    </w:p>
    <w:p w14:paraId="4B845E51" w14:textId="77777777" w:rsidR="009B69B6" w:rsidRPr="00C42373" w:rsidRDefault="009B69B6" w:rsidP="009B69B6">
      <w:pPr>
        <w:rPr>
          <w:lang w:val="nl-NL"/>
        </w:rPr>
        <w:sectPr w:rsidR="009B69B6" w:rsidRPr="00C42373" w:rsidSect="00CC606B">
          <w:footnotePr>
            <w:numFmt w:val="lowerRoman"/>
          </w:footnotePr>
          <w:endnotePr>
            <w:numFmt w:val="decimal"/>
          </w:endnotePr>
          <w:type w:val="continuous"/>
          <w:pgSz w:w="11905" w:h="16837" w:code="9"/>
          <w:pgMar w:top="1418" w:right="1134" w:bottom="1418" w:left="1134" w:header="851" w:footer="510" w:gutter="0"/>
          <w:cols w:space="708"/>
          <w:docGrid w:linePitch="299"/>
        </w:sectPr>
      </w:pPr>
    </w:p>
    <w:p w14:paraId="3D95CF83" w14:textId="77777777" w:rsidR="009C2946" w:rsidRPr="00C42373" w:rsidRDefault="009C2946" w:rsidP="009C2946">
      <w:pPr>
        <w:rPr>
          <w:lang w:val="nl-NL"/>
        </w:rPr>
      </w:pPr>
    </w:p>
    <w:p w14:paraId="37469F38" w14:textId="77777777" w:rsidR="009C2946" w:rsidRPr="00C42373" w:rsidRDefault="009C2946" w:rsidP="009C2946">
      <w:pPr>
        <w:rPr>
          <w:lang w:val="nl-NL"/>
        </w:rPr>
      </w:pPr>
    </w:p>
    <w:p w14:paraId="2B56FDE3" w14:textId="77777777" w:rsidR="009C2946" w:rsidRPr="00C42373" w:rsidRDefault="009C2946" w:rsidP="009C2946">
      <w:pPr>
        <w:rPr>
          <w:lang w:val="nl-NL"/>
        </w:rPr>
      </w:pPr>
    </w:p>
    <w:p w14:paraId="4356BF70" w14:textId="77777777" w:rsidR="009C2946" w:rsidRPr="00C42373" w:rsidRDefault="009C2946" w:rsidP="009C2946">
      <w:pPr>
        <w:rPr>
          <w:lang w:val="nl-NL"/>
        </w:rPr>
      </w:pPr>
    </w:p>
    <w:p w14:paraId="71FAFA96" w14:textId="77777777" w:rsidR="009C2946" w:rsidRPr="00C42373" w:rsidRDefault="0025459D" w:rsidP="009C2946">
      <w:pPr>
        <w:rPr>
          <w:lang w:val="nl-NL"/>
        </w:rPr>
      </w:pPr>
      <w:r w:rsidRPr="00C42373">
        <w:rPr>
          <w:noProof/>
          <w:lang w:val="nl-NL"/>
        </w:rPr>
        <w:drawing>
          <wp:anchor distT="0" distB="0" distL="114300" distR="114300" simplePos="0" relativeHeight="251700736" behindDoc="0" locked="0" layoutInCell="1" allowOverlap="1" wp14:anchorId="1ED11AA8" wp14:editId="56F85A26">
            <wp:simplePos x="0" y="0"/>
            <wp:positionH relativeFrom="margin">
              <wp:posOffset>1656715</wp:posOffset>
            </wp:positionH>
            <wp:positionV relativeFrom="margin">
              <wp:posOffset>1818005</wp:posOffset>
            </wp:positionV>
            <wp:extent cx="2880000" cy="1266233"/>
            <wp:effectExtent l="0" t="0" r="0" b="0"/>
            <wp:wrapSquare wrapText="bothSides"/>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1266233"/>
                    </a:xfrm>
                    <a:prstGeom prst="rect">
                      <a:avLst/>
                    </a:prstGeom>
                  </pic:spPr>
                </pic:pic>
              </a:graphicData>
            </a:graphic>
          </wp:anchor>
        </w:drawing>
      </w:r>
    </w:p>
    <w:p w14:paraId="446C3099" w14:textId="77777777" w:rsidR="009C2946" w:rsidRPr="00C42373" w:rsidRDefault="009C2946" w:rsidP="009C2946">
      <w:pPr>
        <w:rPr>
          <w:lang w:val="nl-NL"/>
        </w:rPr>
      </w:pPr>
    </w:p>
    <w:p w14:paraId="05912AD6" w14:textId="77777777" w:rsidR="009C2946" w:rsidRPr="00C42373" w:rsidRDefault="009C2946" w:rsidP="009C2946">
      <w:pPr>
        <w:rPr>
          <w:lang w:val="nl-NL"/>
        </w:rPr>
      </w:pPr>
    </w:p>
    <w:p w14:paraId="2D2511A2" w14:textId="77777777" w:rsidR="009C2946" w:rsidRPr="00C42373" w:rsidRDefault="009C2946" w:rsidP="009C2946">
      <w:pPr>
        <w:pStyle w:val="EGWIntro"/>
        <w:rPr>
          <w:lang w:val="nl-NL"/>
        </w:rPr>
      </w:pPr>
    </w:p>
    <w:p w14:paraId="02224F0B" w14:textId="77777777" w:rsidR="009C2946" w:rsidRPr="00C42373" w:rsidRDefault="009C2946" w:rsidP="009C2946">
      <w:pPr>
        <w:pStyle w:val="EGWIntro"/>
        <w:rPr>
          <w:lang w:val="nl-NL"/>
        </w:rPr>
      </w:pPr>
    </w:p>
    <w:p w14:paraId="793F0EA4" w14:textId="77777777" w:rsidR="009C2946" w:rsidRPr="00C42373" w:rsidRDefault="009C2946" w:rsidP="009C2946">
      <w:pPr>
        <w:pStyle w:val="EGWIntro"/>
        <w:rPr>
          <w:lang w:val="nl-NL"/>
        </w:rPr>
      </w:pPr>
    </w:p>
    <w:p w14:paraId="0321ABE3" w14:textId="77777777" w:rsidR="009C2946" w:rsidRPr="00C42373" w:rsidRDefault="009C2946" w:rsidP="009C2946">
      <w:pPr>
        <w:pStyle w:val="EGWIntro"/>
        <w:rPr>
          <w:lang w:val="nl-NL"/>
        </w:rPr>
      </w:pPr>
    </w:p>
    <w:p w14:paraId="3DCBC2B6" w14:textId="77777777" w:rsidR="009C2946" w:rsidRPr="00C42373" w:rsidRDefault="009C2946" w:rsidP="009C2946">
      <w:pPr>
        <w:pStyle w:val="EGWIntro"/>
        <w:rPr>
          <w:lang w:val="nl-NL"/>
        </w:rPr>
      </w:pPr>
    </w:p>
    <w:p w14:paraId="4CF99024" w14:textId="77777777" w:rsidR="009C2946" w:rsidRPr="00C42373" w:rsidRDefault="009C2946" w:rsidP="009C2946">
      <w:pPr>
        <w:pStyle w:val="EGWIntro"/>
        <w:rPr>
          <w:lang w:val="nl-NL"/>
        </w:rPr>
      </w:pPr>
    </w:p>
    <w:p w14:paraId="1D1BA59F" w14:textId="77777777" w:rsidR="009C2946" w:rsidRPr="00C42373" w:rsidRDefault="009C2946" w:rsidP="009C2946">
      <w:pPr>
        <w:pStyle w:val="EGWIntro"/>
        <w:rPr>
          <w:lang w:val="nl-NL"/>
        </w:rPr>
      </w:pPr>
    </w:p>
    <w:p w14:paraId="48AD97DB" w14:textId="77777777" w:rsidR="009C2946" w:rsidRPr="00C42373" w:rsidRDefault="009C2946" w:rsidP="009C2946">
      <w:pPr>
        <w:rPr>
          <w:lang w:val="nl-NL"/>
        </w:rPr>
      </w:pPr>
    </w:p>
    <w:p w14:paraId="46A79742" w14:textId="77777777" w:rsidR="009C2946" w:rsidRPr="00C42373" w:rsidRDefault="002E02C0" w:rsidP="009C2946">
      <w:pPr>
        <w:rPr>
          <w:lang w:val="nl-NL"/>
        </w:rPr>
      </w:pPr>
      <w:r w:rsidRPr="00C42373">
        <w:rPr>
          <w:noProof/>
          <w:lang w:val="nl-NL"/>
        </w:rPr>
        <w:drawing>
          <wp:anchor distT="0" distB="0" distL="114300" distR="114300" simplePos="0" relativeHeight="251715072" behindDoc="0" locked="0" layoutInCell="1" allowOverlap="1" wp14:anchorId="10A749B6" wp14:editId="7CC37FCA">
            <wp:simplePos x="0" y="0"/>
            <wp:positionH relativeFrom="column">
              <wp:posOffset>3971925</wp:posOffset>
            </wp:positionH>
            <wp:positionV relativeFrom="paragraph">
              <wp:posOffset>3737610</wp:posOffset>
            </wp:positionV>
            <wp:extent cx="1073150" cy="446405"/>
            <wp:effectExtent l="0" t="0" r="0" b="0"/>
            <wp:wrapNone/>
            <wp:docPr id="1212083581" name="Afbeelding 1" descr="Afbeelding met Graphics, Lettertype, sinaasappel,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83581" name="Afbeelding 1" descr="Afbeelding met Graphics, Lettertype, sinaasappel,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3150" cy="446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2373">
        <w:rPr>
          <w:noProof/>
          <w:lang w:val="nl-NL"/>
        </w:rPr>
        <w:drawing>
          <wp:anchor distT="0" distB="0" distL="114300" distR="114300" simplePos="0" relativeHeight="251713024" behindDoc="0" locked="0" layoutInCell="1" allowOverlap="1" wp14:anchorId="730A5CD2" wp14:editId="6F97C89E">
            <wp:simplePos x="0" y="0"/>
            <wp:positionH relativeFrom="column">
              <wp:posOffset>1449070</wp:posOffset>
            </wp:positionH>
            <wp:positionV relativeFrom="paragraph">
              <wp:posOffset>3717290</wp:posOffset>
            </wp:positionV>
            <wp:extent cx="1345907" cy="672709"/>
            <wp:effectExtent l="0" t="0" r="0" b="0"/>
            <wp:wrapNone/>
            <wp:docPr id="1849692048" name="Picture 1" descr="A black background with white text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92048" name="Picture 1" descr="A black background with white text and green square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5907" cy="672709"/>
                    </a:xfrm>
                    <a:prstGeom prst="rect">
                      <a:avLst/>
                    </a:prstGeom>
                  </pic:spPr>
                </pic:pic>
              </a:graphicData>
            </a:graphic>
            <wp14:sizeRelH relativeFrom="page">
              <wp14:pctWidth>0</wp14:pctWidth>
            </wp14:sizeRelH>
            <wp14:sizeRelV relativeFrom="page">
              <wp14:pctHeight>0</wp14:pctHeight>
            </wp14:sizeRelV>
          </wp:anchor>
        </w:drawing>
      </w:r>
      <w:r w:rsidRPr="00C42373">
        <w:rPr>
          <w:noProof/>
          <w:lang w:val="nl-NL"/>
        </w:rPr>
        <w:drawing>
          <wp:anchor distT="0" distB="0" distL="114300" distR="114300" simplePos="0" relativeHeight="251710976" behindDoc="0" locked="0" layoutInCell="1" allowOverlap="1" wp14:anchorId="2CF837A2" wp14:editId="497AFA6C">
            <wp:simplePos x="0" y="0"/>
            <wp:positionH relativeFrom="margin">
              <wp:posOffset>0</wp:posOffset>
            </wp:positionH>
            <wp:positionV relativeFrom="paragraph">
              <wp:posOffset>3745230</wp:posOffset>
            </wp:positionV>
            <wp:extent cx="1244600" cy="527147"/>
            <wp:effectExtent l="0" t="0" r="0" b="6350"/>
            <wp:wrapNone/>
            <wp:docPr id="1914487295" name="Afbeelding 3" descr="Afbeelding met tekst, Lettertype, Graphics,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87295" name="Afbeelding 3" descr="Afbeelding met tekst, Lettertype, Graphics, geel&#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4600" cy="5271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606B" w:rsidRPr="00C42373">
        <w:rPr>
          <w:noProof/>
          <w:lang w:val="nl-NL"/>
        </w:rPr>
        <w:drawing>
          <wp:anchor distT="0" distB="0" distL="114300" distR="114300" simplePos="0" relativeHeight="251697664" behindDoc="0" locked="0" layoutInCell="1" allowOverlap="1" wp14:anchorId="0DE5E066" wp14:editId="06C2542C">
            <wp:simplePos x="0" y="0"/>
            <wp:positionH relativeFrom="column">
              <wp:posOffset>3019425</wp:posOffset>
            </wp:positionH>
            <wp:positionV relativeFrom="paragraph">
              <wp:posOffset>3580765</wp:posOffset>
            </wp:positionV>
            <wp:extent cx="542925" cy="819150"/>
            <wp:effectExtent l="0" t="0" r="9525" b="0"/>
            <wp:wrapSquare wrapText="bothSides"/>
            <wp:docPr id="229"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A picture containing icon&#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anchor>
        </w:drawing>
      </w:r>
      <w:r w:rsidR="00CC606B" w:rsidRPr="00C42373">
        <w:rPr>
          <w:noProof/>
          <w:lang w:val="nl-NL"/>
        </w:rPr>
        <w:drawing>
          <wp:anchor distT="0" distB="0" distL="114300" distR="114300" simplePos="0" relativeHeight="251698688" behindDoc="0" locked="0" layoutInCell="1" allowOverlap="1" wp14:anchorId="59BEF407" wp14:editId="0DA4995F">
            <wp:simplePos x="0" y="0"/>
            <wp:positionH relativeFrom="column">
              <wp:posOffset>5370830</wp:posOffset>
            </wp:positionH>
            <wp:positionV relativeFrom="paragraph">
              <wp:posOffset>3631565</wp:posOffset>
            </wp:positionV>
            <wp:extent cx="695325" cy="714375"/>
            <wp:effectExtent l="0" t="0" r="9525" b="9525"/>
            <wp:wrapSquare wrapText="bothSides"/>
            <wp:docPr id="231"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A picture containing diagram&#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anchor>
        </w:drawing>
      </w:r>
    </w:p>
    <w:sectPr w:rsidR="009C2946" w:rsidRPr="00C42373" w:rsidSect="00CC606B">
      <w:footerReference w:type="default" r:id="rId22"/>
      <w:footnotePr>
        <w:numFmt w:val="lowerRoman"/>
      </w:footnotePr>
      <w:endnotePr>
        <w:numFmt w:val="decimal"/>
      </w:endnotePr>
      <w:pgSz w:w="11905" w:h="16837" w:code="9"/>
      <w:pgMar w:top="1411" w:right="1138" w:bottom="1411" w:left="1138" w:header="850" w:footer="51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0888" w14:textId="77777777" w:rsidR="008A1B06" w:rsidRPr="00BF3800" w:rsidRDefault="008A1B06" w:rsidP="00BF3800">
      <w:pPr>
        <w:pStyle w:val="Footer"/>
      </w:pPr>
    </w:p>
  </w:endnote>
  <w:endnote w:type="continuationSeparator" w:id="0">
    <w:p w14:paraId="740BE3A9" w14:textId="77777777" w:rsidR="008A1B06" w:rsidRDefault="008A1B06" w:rsidP="00983AC0"/>
  </w:endnote>
  <w:endnote w:type="continuationNotice" w:id="1">
    <w:p w14:paraId="66AA9FA5" w14:textId="77777777" w:rsidR="008A1B06" w:rsidRDefault="008A1B06" w:rsidP="00983AC0"/>
  </w:endnote>
  <w:endnote w:id="2">
    <w:p w14:paraId="21C594AF" w14:textId="77777777" w:rsidR="007A6A51" w:rsidRPr="003B0CB2" w:rsidRDefault="007A6A51" w:rsidP="007A6A51">
      <w:pPr>
        <w:pStyle w:val="EndnoteText"/>
        <w:rPr>
          <w:lang w:val="en-US"/>
        </w:rPr>
      </w:pPr>
      <w:r>
        <w:rPr>
          <w:rStyle w:val="EndnoteReference"/>
        </w:rPr>
        <w:endnoteRef/>
      </w:r>
      <w:r>
        <w:t xml:space="preserve"> </w:t>
      </w:r>
      <w:r w:rsidRPr="003B0CB2">
        <w:rPr>
          <w:szCs w:val="20"/>
          <w:lang w:val="en-US"/>
        </w:rPr>
        <w:t xml:space="preserve">OECD (2023, </w:t>
      </w:r>
      <w:r>
        <w:rPr>
          <w:lang w:val="en-US"/>
        </w:rPr>
        <w:t>juni</w:t>
      </w:r>
      <w:r w:rsidRPr="003B0CB2">
        <w:rPr>
          <w:szCs w:val="20"/>
          <w:lang w:val="en-US"/>
        </w:rPr>
        <w:t xml:space="preserve">), OECD Guidelines for Multinational Enterprises on Responsible Business Conduct; </w:t>
      </w:r>
      <w:r w:rsidRPr="003B0CB2">
        <w:rPr>
          <w:lang w:val="en-US"/>
        </w:rPr>
        <w:t>OECD (2017), Responsible business conduct for institutional investors: Key considerations for due diligence under the OECD Guidelines for Multinational Enterprises.</w:t>
      </w:r>
    </w:p>
  </w:endnote>
  <w:endnote w:id="3">
    <w:p w14:paraId="4B62D34E" w14:textId="4325247B" w:rsidR="00757FD7" w:rsidRPr="00757FD7" w:rsidRDefault="00757FD7">
      <w:pPr>
        <w:pStyle w:val="EndnoteText"/>
        <w:rPr>
          <w:lang w:val="en-US"/>
        </w:rPr>
      </w:pPr>
      <w:r>
        <w:rPr>
          <w:rStyle w:val="EndnoteReference"/>
        </w:rPr>
        <w:endnoteRef/>
      </w:r>
      <w:r>
        <w:t xml:space="preserve"> </w:t>
      </w:r>
      <w:r w:rsidRPr="00DC5E2D">
        <w:rPr>
          <w:lang w:val="en-US"/>
        </w:rPr>
        <w:t>Kamoa Copper (ex African Minerals Barbados). https://congomines.org/drc_companies/142-kamoa-copper-exafrican-minerals-barbados, geraadpleegd op 1 juli 2025.</w:t>
      </w:r>
    </w:p>
  </w:endnote>
  <w:endnote w:id="4">
    <w:p w14:paraId="4C900263" w14:textId="75E6E006" w:rsidR="00290276" w:rsidRPr="00290276" w:rsidRDefault="00290276">
      <w:pPr>
        <w:pStyle w:val="EndnoteText"/>
        <w:rPr>
          <w:lang w:val="en-US"/>
        </w:rPr>
      </w:pPr>
      <w:r>
        <w:rPr>
          <w:rStyle w:val="EndnoteReference"/>
        </w:rPr>
        <w:endnoteRef/>
      </w:r>
      <w:r>
        <w:t xml:space="preserve"> </w:t>
      </w:r>
      <w:r w:rsidRPr="00DC5E2D">
        <w:rPr>
          <w:lang w:val="en-US"/>
        </w:rPr>
        <w:t>Kamoa Copper S.A. (n.d.), “About Us”. https://www.kamoacopper.com/en/about/?, geraadpleegd op 1 juli 2025.</w:t>
      </w:r>
    </w:p>
  </w:endnote>
  <w:endnote w:id="5">
    <w:p w14:paraId="36863509" w14:textId="25179792" w:rsidR="00290276" w:rsidRPr="00290276" w:rsidRDefault="00290276" w:rsidP="00290276">
      <w:pPr>
        <w:pStyle w:val="EndnoteText"/>
        <w:rPr>
          <w:lang w:val="nl-NL"/>
        </w:rPr>
      </w:pPr>
      <w:r>
        <w:rPr>
          <w:rStyle w:val="EndnoteReference"/>
        </w:rPr>
        <w:endnoteRef/>
      </w:r>
      <w:r w:rsidRPr="00290276">
        <w:rPr>
          <w:lang w:val="nl-NL"/>
        </w:rPr>
        <w:t xml:space="preserve"> </w:t>
      </w:r>
      <w:r w:rsidRPr="00EB28A8">
        <w:rPr>
          <w:lang w:val="nl-NL"/>
        </w:rPr>
        <w:t>Ivanhoe Mines (n.d.), “Kamoa-Kakula Copper Complex”. https://www.ivanhoemines.com/what-we-do/operations-projects/kamoa-kakula-mining-</w:t>
      </w:r>
      <w:r>
        <w:rPr>
          <w:lang w:val="nl-NL"/>
        </w:rPr>
        <w:t>c</w:t>
      </w:r>
      <w:r w:rsidRPr="00EB28A8">
        <w:rPr>
          <w:lang w:val="nl-NL"/>
        </w:rPr>
        <w:t>omplex/#:~:text=Kamoa%2DKakula%20began%20producing%20copper,production%20early%20in%20Q3%2C%202024, geraadpleegd op 1 juli 2025.</w:t>
      </w:r>
    </w:p>
  </w:endnote>
  <w:endnote w:id="6">
    <w:p w14:paraId="1A1F0550" w14:textId="151E82D9" w:rsidR="00290276" w:rsidRPr="00290276" w:rsidRDefault="00290276" w:rsidP="00290276">
      <w:pPr>
        <w:pStyle w:val="EndnoteText"/>
        <w:rPr>
          <w:lang w:val="nl-NL"/>
        </w:rPr>
      </w:pPr>
      <w:r>
        <w:rPr>
          <w:rStyle w:val="EndnoteReference"/>
        </w:rPr>
        <w:endnoteRef/>
      </w:r>
      <w:r>
        <w:t xml:space="preserve"> </w:t>
      </w:r>
      <w:r w:rsidRPr="00EB28A8">
        <w:t>M</w:t>
      </w:r>
      <w:r>
        <w:t>ining</w:t>
      </w:r>
      <w:r w:rsidRPr="00EB28A8">
        <w:t>.</w:t>
      </w:r>
      <w:r>
        <w:t>com</w:t>
      </w:r>
      <w:r w:rsidRPr="00EB28A8">
        <w:t xml:space="preserve"> (2025, April 28), “RANKED: World’s Biggest Copper Mines”. </w:t>
      </w:r>
      <w:hyperlink r:id="rId1" w:history="1">
        <w:r w:rsidRPr="00EB28A8">
          <w:rPr>
            <w:rStyle w:val="Hyperlink"/>
            <w:lang w:val="nl-NL"/>
          </w:rPr>
          <w:t>https://www.mining.com/featuredarticle/ranked-worlds-biggest-copper-mines/</w:t>
        </w:r>
      </w:hyperlink>
      <w:r w:rsidRPr="00EB28A8">
        <w:rPr>
          <w:lang w:val="nl-NL"/>
        </w:rPr>
        <w:t>, geraadpleegd op 1 juli 2025.</w:t>
      </w:r>
    </w:p>
  </w:endnote>
  <w:endnote w:id="7">
    <w:p w14:paraId="0EA4BCE9" w14:textId="7A01B429" w:rsidR="00290276" w:rsidRPr="00290276" w:rsidRDefault="00290276">
      <w:pPr>
        <w:pStyle w:val="EndnoteText"/>
        <w:rPr>
          <w:lang w:val="nl-NL"/>
        </w:rPr>
      </w:pPr>
      <w:r>
        <w:rPr>
          <w:rStyle w:val="EndnoteReference"/>
        </w:rPr>
        <w:endnoteRef/>
      </w:r>
      <w:r w:rsidRPr="00290276">
        <w:rPr>
          <w:lang w:val="nl-NL"/>
        </w:rPr>
        <w:t xml:space="preserve"> </w:t>
      </w:r>
      <w:r w:rsidRPr="00EB28A8">
        <w:rPr>
          <w:lang w:val="nl-NL"/>
        </w:rPr>
        <w:t>Ivanhoe Mines, “Kamoa-Kakula Copper Complex”. https://www.ivanhoemines.com/what-we-do/operationsprojects/kamoa-kakula-mining-complex/, geraadpleegd op 1 juli 2025</w:t>
      </w:r>
      <w:r>
        <w:rPr>
          <w:lang w:val="nl-NL"/>
        </w:rPr>
        <w:t>.</w:t>
      </w:r>
    </w:p>
  </w:endnote>
  <w:endnote w:id="8">
    <w:p w14:paraId="22EFDB69" w14:textId="21D2A3E8" w:rsidR="00290276" w:rsidRPr="009F4799" w:rsidRDefault="00290276">
      <w:pPr>
        <w:pStyle w:val="EndnoteText"/>
        <w:rPr>
          <w:lang w:val="nl-NL"/>
        </w:rPr>
      </w:pPr>
      <w:r>
        <w:rPr>
          <w:rStyle w:val="EndnoteReference"/>
        </w:rPr>
        <w:endnoteRef/>
      </w:r>
      <w:r>
        <w:t xml:space="preserve"> </w:t>
      </w:r>
      <w:r w:rsidRPr="006801B6">
        <w:rPr>
          <w:lang w:val="en-US"/>
        </w:rPr>
        <w:t xml:space="preserve">Nasdaq (2025, January 8), “Ivanhoe Mines Provides 2024 Production Results, 2025 Production Guidance”. </w:t>
      </w:r>
      <w:hyperlink r:id="rId2" w:history="1">
        <w:r w:rsidRPr="00EB28A8">
          <w:rPr>
            <w:rStyle w:val="Hyperlink"/>
            <w:lang w:val="nl-NL"/>
          </w:rPr>
          <w:t>https://www.nasdaq.com/press-release/ivanhoe-mines-provides-2024-production-results-2025-productionguidance-2025-01-08</w:t>
        </w:r>
      </w:hyperlink>
      <w:r w:rsidRPr="00EB28A8">
        <w:rPr>
          <w:lang w:val="nl-NL"/>
        </w:rPr>
        <w:t>, geraadpleegd op 10 juli 2025.</w:t>
      </w:r>
    </w:p>
  </w:endnote>
  <w:endnote w:id="9">
    <w:p w14:paraId="5C2AEC5E" w14:textId="50CC209F" w:rsidR="00290276" w:rsidRPr="00290276" w:rsidRDefault="00290276">
      <w:pPr>
        <w:pStyle w:val="EndnoteText"/>
        <w:rPr>
          <w:lang w:val="en-US"/>
        </w:rPr>
      </w:pPr>
      <w:r>
        <w:rPr>
          <w:rStyle w:val="EndnoteReference"/>
        </w:rPr>
        <w:endnoteRef/>
      </w:r>
      <w:r>
        <w:t xml:space="preserve"> </w:t>
      </w:r>
      <w:r w:rsidRPr="00EB28A8">
        <w:t>Ivanhoe Mines (2025, February 19), “Ivanhoe Mines Issues 2024 Fourth Quarter and Annual Financial Results, Overview of Construction and Exploration Activities”. https://www.ivanhoemines.com/news-stories/newsrelease/ivanhoe-mines-issues-2024-fourth-quarter-and-annual-financial-results-overview-of-constructionand-exploration-activities/, geraadpleegd op 1 juli 2025.</w:t>
      </w:r>
    </w:p>
  </w:endnote>
  <w:endnote w:id="10">
    <w:p w14:paraId="5EDFFAD4" w14:textId="77777777" w:rsidR="00290276" w:rsidRPr="00EB28A8" w:rsidRDefault="00290276" w:rsidP="00290276">
      <w:pPr>
        <w:pStyle w:val="EndnoteText"/>
        <w:rPr>
          <w:lang w:val="nl-NL"/>
        </w:rPr>
      </w:pPr>
      <w:r w:rsidRPr="00EB28A8">
        <w:rPr>
          <w:rStyle w:val="EndnoteReference"/>
        </w:rPr>
        <w:endnoteRef/>
      </w:r>
      <w:r w:rsidRPr="00EB28A8">
        <w:rPr>
          <w:lang w:val="nl-NL"/>
        </w:rPr>
        <w:t xml:space="preserve"> Deze groeperingen maken deel uit van de hiërarchie binnen de DRC. Ze vallen onder traditionele entiteiten die bekend staan </w:t>
      </w:r>
      <w:r w:rsidRPr="00EB28A8">
        <w:rPr>
          <w:rFonts w:ascii="Arial" w:hAnsi="Arial" w:cs="Arial"/>
          <w:lang w:val="nl-NL"/>
        </w:rPr>
        <w:t>​​</w:t>
      </w:r>
      <w:r w:rsidRPr="00EB28A8">
        <w:rPr>
          <w:lang w:val="nl-NL"/>
        </w:rPr>
        <w:t xml:space="preserve">als </w:t>
      </w:r>
      <w:r w:rsidRPr="00EB28A8">
        <w:rPr>
          <w:rFonts w:ascii="Aptos" w:hAnsi="Aptos" w:cs="Aptos"/>
          <w:lang w:val="nl-NL"/>
        </w:rPr>
        <w:t>‘</w:t>
      </w:r>
      <w:r w:rsidRPr="00EB28A8">
        <w:rPr>
          <w:lang w:val="nl-NL"/>
        </w:rPr>
        <w:t>chefferies</w:t>
      </w:r>
      <w:r w:rsidRPr="00EB28A8">
        <w:rPr>
          <w:rFonts w:ascii="Aptos" w:hAnsi="Aptos" w:cs="Aptos"/>
          <w:lang w:val="nl-NL"/>
        </w:rPr>
        <w:t>’</w:t>
      </w:r>
      <w:r w:rsidRPr="00EB28A8">
        <w:rPr>
          <w:lang w:val="nl-NL"/>
        </w:rPr>
        <w:t xml:space="preserve"> (of chiefdoms), die onder toezicht staan </w:t>
      </w:r>
      <w:r w:rsidRPr="00EB28A8">
        <w:rPr>
          <w:rFonts w:ascii="Arial" w:hAnsi="Arial" w:cs="Arial"/>
          <w:lang w:val="nl-NL"/>
        </w:rPr>
        <w:t>​​</w:t>
      </w:r>
      <w:r w:rsidRPr="00EB28A8">
        <w:rPr>
          <w:lang w:val="nl-NL"/>
        </w:rPr>
        <w:t>van de nationale autoriteiten. Chefferies zijn zelf onderverdelingen van territoria, de administratieve eenheden op het tweede niveau onder de provincies. In dit geval behoren Mwilu en Musokantanda tot de chefferie van Bayeke, gelegen op het grondgebied van Mutshatsha, in de provincie Lualaba.</w:t>
      </w:r>
    </w:p>
  </w:endnote>
  <w:endnote w:id="11">
    <w:p w14:paraId="51A67FC4" w14:textId="77777777" w:rsidR="00290276" w:rsidRPr="00EB28A8" w:rsidRDefault="00290276" w:rsidP="00290276">
      <w:pPr>
        <w:pStyle w:val="EndnoteText"/>
        <w:rPr>
          <w:lang w:val="nl-NL"/>
        </w:rPr>
      </w:pPr>
      <w:r w:rsidRPr="00EB28A8">
        <w:rPr>
          <w:rStyle w:val="EndnoteReference"/>
        </w:rPr>
        <w:endnoteRef/>
      </w:r>
      <w:r w:rsidRPr="00EB28A8">
        <w:rPr>
          <w:lang w:val="nl-NL"/>
        </w:rPr>
        <w:t xml:space="preserve"> Dit zijn de dorpen Benkeni, Chindechinde, Maseka City, Musoka City or Dipumba, Kaponda Farm, Israel, Kabulo, Kakunta, Kaloko, Kalundu, Kamakala, Kamisange, Kamoa Mission, Kangaso, Kaponda 1, Kaponda 2, Kavuma, Kaya, Londorino, Mangi Basin, Mawawa, Mukanga, Mulemena, Mundjendje, Mupenda, Musonkantanda, Musulu, Muvunda, Mwilu, Ndjoni, Ndjosayi, Paulo, Placide Katayi, Postolo, Muzeya, Samukoko, Sanka 1, Sanka 2, Sapatelo, Tshamadingi, Tshimbundji, Tshiwisha, Venance, Walemba en Wiri.</w:t>
      </w:r>
    </w:p>
  </w:endnote>
  <w:endnote w:id="12">
    <w:p w14:paraId="7B8067E1" w14:textId="77777777" w:rsidR="00290276" w:rsidRPr="00EB28A8" w:rsidRDefault="00290276" w:rsidP="00290276">
      <w:pPr>
        <w:pStyle w:val="EndnoteText"/>
        <w:rPr>
          <w:lang w:val="nl-NL"/>
        </w:rPr>
      </w:pPr>
      <w:r w:rsidRPr="00EB28A8">
        <w:rPr>
          <w:rStyle w:val="EndnoteReference"/>
        </w:rPr>
        <w:endnoteRef/>
      </w:r>
      <w:r w:rsidRPr="00863426">
        <w:rPr>
          <w:lang w:val="fr-FR"/>
        </w:rPr>
        <w:t xml:space="preserve"> Initiative pour la Bonne Gouvernance et les Droits Humains (IBGDH) (2022), Rapport d’évaluation d’impacts de COMMUS et Kamoa Copper sur les droits des communautés locales. </w:t>
      </w:r>
      <w:r w:rsidRPr="00EB28A8">
        <w:rPr>
          <w:lang w:val="nl-NL"/>
        </w:rPr>
        <w:t>Kolwezi, RDC. https://es.scribd.com/document/768577914/Rapport-d-evaluation-d-impacts-de-COMMUS-et-Kamoa-Copper-sur-les-droits-descommunautes-locales-IBGDH-2022.</w:t>
      </w:r>
    </w:p>
  </w:endnote>
  <w:endnote w:id="13">
    <w:p w14:paraId="081E0F3D" w14:textId="77777777" w:rsidR="00290276" w:rsidRPr="00EB28A8" w:rsidRDefault="00290276" w:rsidP="00290276">
      <w:pPr>
        <w:pStyle w:val="EndnoteText"/>
      </w:pPr>
      <w:r w:rsidRPr="00EB28A8">
        <w:rPr>
          <w:rStyle w:val="EndnoteReference"/>
        </w:rPr>
        <w:endnoteRef/>
      </w:r>
      <w:r w:rsidRPr="00EB28A8">
        <w:t xml:space="preserve"> Amnesty International (2023, September 11), </w:t>
      </w:r>
      <w:r w:rsidRPr="0050070F">
        <w:rPr>
          <w:i/>
          <w:iCs/>
        </w:rPr>
        <w:t>Powering change or business as usual? Human rights and the energy transition in the Democratic Republic of the Congo</w:t>
      </w:r>
      <w:r w:rsidRPr="00EB28A8">
        <w:t>, p. 11. https://www.amnesty.org/en/documents/afr62/7009/2023/en/.</w:t>
      </w:r>
    </w:p>
  </w:endnote>
  <w:endnote w:id="14">
    <w:p w14:paraId="043B4B3D" w14:textId="77777777" w:rsidR="00290276" w:rsidRPr="00863426" w:rsidRDefault="00290276" w:rsidP="00290276">
      <w:pPr>
        <w:pStyle w:val="EndnoteText"/>
        <w:rPr>
          <w:lang w:val="fr-FR"/>
        </w:rPr>
      </w:pPr>
      <w:r w:rsidRPr="00EB28A8">
        <w:rPr>
          <w:rStyle w:val="EndnoteReference"/>
        </w:rPr>
        <w:endnoteRef/>
      </w:r>
      <w:r w:rsidRPr="00863426">
        <w:rPr>
          <w:lang w:val="fr-FR"/>
        </w:rPr>
        <w:t xml:space="preserve"> Ibid., p. 10.</w:t>
      </w:r>
    </w:p>
  </w:endnote>
  <w:endnote w:id="15">
    <w:p w14:paraId="1F9DB5B7" w14:textId="77777777" w:rsidR="000425E2" w:rsidRPr="00EB28A8" w:rsidRDefault="000425E2" w:rsidP="00290276">
      <w:pPr>
        <w:pStyle w:val="EndnoteText"/>
        <w:rPr>
          <w:lang w:val="nl-NL"/>
        </w:rPr>
      </w:pPr>
      <w:r w:rsidRPr="00EB28A8">
        <w:rPr>
          <w:rStyle w:val="EndnoteReference"/>
        </w:rPr>
        <w:endnoteRef/>
      </w:r>
      <w:r w:rsidRPr="00863426">
        <w:rPr>
          <w:lang w:val="fr-FR"/>
        </w:rPr>
        <w:t xml:space="preserve"> Initiative pour la Bonne Gouvernance et les Droits Humains (IBGDH) (2022), Rapport d’évaluation d’impacts de COMMUS et Kamoa Copper sur les droits des communautés locales. </w:t>
      </w:r>
      <w:r w:rsidRPr="00EB28A8">
        <w:rPr>
          <w:lang w:val="nl-NL"/>
        </w:rPr>
        <w:t>Kolwezi, RDC. https://es.scribd.com/document/768577914/Rapport-d-evaluation-d-impacts-de-COMMUS-et-Kamoa-Copper-sur-les-droits-descommunautes-locales-IBGDH-2022.</w:t>
      </w:r>
    </w:p>
  </w:endnote>
  <w:endnote w:id="16">
    <w:p w14:paraId="49942548" w14:textId="77777777" w:rsidR="000425E2" w:rsidRPr="00863426" w:rsidRDefault="000425E2" w:rsidP="003E131B">
      <w:pPr>
        <w:pStyle w:val="EndnoteText"/>
        <w:rPr>
          <w:lang w:val="fr-FR"/>
        </w:rPr>
      </w:pPr>
      <w:r w:rsidRPr="00EB28A8">
        <w:rPr>
          <w:rStyle w:val="EndnoteReference"/>
        </w:rPr>
        <w:endnoteRef/>
      </w:r>
      <w:r w:rsidRPr="00863426">
        <w:rPr>
          <w:lang w:val="fr-FR"/>
        </w:rPr>
        <w:t xml:space="preserve"> Initiative pour la Bonne Gouvernance et les Droits Humains (2022, juli), Exploitation du cuivre et du cobalt (2C) dans la province du Lualaba : Un danger pour les droits humains, p. 23.</w:t>
      </w:r>
    </w:p>
  </w:endnote>
  <w:endnote w:id="17">
    <w:p w14:paraId="53670B07" w14:textId="23AFFC4C" w:rsidR="000425E2" w:rsidRPr="00863426" w:rsidRDefault="000425E2" w:rsidP="003E131B">
      <w:pPr>
        <w:pStyle w:val="EndnoteText"/>
        <w:rPr>
          <w:lang w:val="fr-FR"/>
        </w:rPr>
      </w:pPr>
      <w:r w:rsidRPr="00EB28A8">
        <w:rPr>
          <w:rStyle w:val="EndnoteReference"/>
        </w:rPr>
        <w:endnoteRef/>
      </w:r>
      <w:r w:rsidRPr="00863426">
        <w:rPr>
          <w:lang w:val="fr-FR"/>
        </w:rPr>
        <w:t xml:space="preserve"> </w:t>
      </w:r>
      <w:r>
        <w:rPr>
          <w:lang w:val="fr-FR"/>
        </w:rPr>
        <w:t xml:space="preserve">Naam van universiteit bekend bij De Eerlijke Geldwijzer. </w:t>
      </w:r>
      <w:r w:rsidRPr="00863426">
        <w:rPr>
          <w:lang w:val="fr-FR"/>
        </w:rPr>
        <w:t>2025, oktober. Rapport d’évaluation de la qualité des eaux dans lesenvirons de la concession minière de Kamoa, p</w:t>
      </w:r>
      <w:r w:rsidR="005267DD">
        <w:rPr>
          <w:lang w:val="fr-FR"/>
        </w:rPr>
        <w:t>.</w:t>
      </w:r>
      <w:r w:rsidRPr="00863426">
        <w:rPr>
          <w:lang w:val="fr-FR"/>
        </w:rPr>
        <w:t xml:space="preserve"> 12</w:t>
      </w:r>
      <w:r w:rsidR="005267DD">
        <w:rPr>
          <w:lang w:val="fr-FR"/>
        </w:rPr>
        <w:t>.</w:t>
      </w:r>
      <w:r w:rsidRPr="00863426">
        <w:rPr>
          <w:lang w:val="fr-FR"/>
        </w:rPr>
        <w:t xml:space="preserve"> 20251020-RDC-Rapport-Evaluation-Eau-Mulungwishi-Tshimbundji-111111.pdf.</w:t>
      </w:r>
    </w:p>
  </w:endnote>
  <w:endnote w:id="18">
    <w:p w14:paraId="331EFD83" w14:textId="225997D5" w:rsidR="000425E2" w:rsidRPr="00863426" w:rsidRDefault="000425E2" w:rsidP="003E131B">
      <w:pPr>
        <w:pStyle w:val="EndnoteText"/>
        <w:rPr>
          <w:lang w:val="fr-FR"/>
        </w:rPr>
      </w:pPr>
      <w:r w:rsidRPr="00EB28A8">
        <w:rPr>
          <w:rStyle w:val="EndnoteReference"/>
        </w:rPr>
        <w:endnoteRef/>
      </w:r>
      <w:r w:rsidRPr="00863426">
        <w:rPr>
          <w:lang w:val="fr-FR"/>
        </w:rPr>
        <w:t xml:space="preserve"> </w:t>
      </w:r>
      <w:r>
        <w:rPr>
          <w:lang w:val="fr-FR"/>
        </w:rPr>
        <w:t>Ibid.</w:t>
      </w:r>
    </w:p>
  </w:endnote>
  <w:endnote w:id="19">
    <w:p w14:paraId="46F048A1" w14:textId="1DFA54AE" w:rsidR="000425E2" w:rsidRPr="00296265" w:rsidRDefault="000425E2" w:rsidP="003E131B">
      <w:pPr>
        <w:pStyle w:val="EndnoteText"/>
      </w:pPr>
      <w:r w:rsidRPr="00EB28A8">
        <w:rPr>
          <w:rStyle w:val="EndnoteReference"/>
        </w:rPr>
        <w:endnoteRef/>
      </w:r>
      <w:r w:rsidRPr="00863426">
        <w:rPr>
          <w:lang w:val="fr-FR"/>
        </w:rPr>
        <w:t xml:space="preserve"> </w:t>
      </w:r>
      <w:r>
        <w:rPr>
          <w:lang w:val="fr-FR"/>
        </w:rPr>
        <w:t>Ibid.</w:t>
      </w:r>
    </w:p>
  </w:endnote>
  <w:endnote w:id="20">
    <w:p w14:paraId="4B4E8934" w14:textId="77777777" w:rsidR="000425E2" w:rsidRPr="00EB28A8" w:rsidRDefault="000425E2" w:rsidP="003E131B">
      <w:pPr>
        <w:pStyle w:val="EndnoteText"/>
      </w:pPr>
      <w:r w:rsidRPr="00EB28A8">
        <w:rPr>
          <w:rStyle w:val="EndnoteReference"/>
        </w:rPr>
        <w:endnoteRef/>
      </w:r>
      <w:r w:rsidRPr="00EB28A8">
        <w:t xml:space="preserve"> World Bank (2022), Land tenure and administration in the Democratic Republic of Congo: Challenges and opportunities.</w:t>
      </w:r>
    </w:p>
  </w:endnote>
  <w:endnote w:id="21">
    <w:p w14:paraId="5FEDAD97" w14:textId="77777777" w:rsidR="000425E2" w:rsidRPr="00863426" w:rsidRDefault="000425E2" w:rsidP="000425E2">
      <w:pPr>
        <w:pStyle w:val="EndnoteText"/>
        <w:rPr>
          <w:lang w:val="fr-FR"/>
        </w:rPr>
      </w:pPr>
      <w:r w:rsidRPr="00EB28A8">
        <w:rPr>
          <w:rStyle w:val="EndnoteReference"/>
        </w:rPr>
        <w:endnoteRef/>
      </w:r>
      <w:r w:rsidRPr="00863426">
        <w:rPr>
          <w:lang w:val="fr-FR"/>
        </w:rPr>
        <w:t xml:space="preserve"> Initiative pour la Bonne Gouvernance et les Droits Humains (IBGDH) (2025, 20 August), Communique de presse: L’entreprise KAMOA Copper S.A., un prédateur sans pitié vis-à-vis des communautés locales.</w:t>
      </w:r>
    </w:p>
  </w:endnote>
  <w:endnote w:id="22">
    <w:p w14:paraId="3C296E25" w14:textId="77777777" w:rsidR="000425E2" w:rsidRPr="00863426" w:rsidRDefault="000425E2" w:rsidP="000425E2">
      <w:pPr>
        <w:pStyle w:val="EndnoteText"/>
        <w:rPr>
          <w:lang w:val="fr-FR"/>
        </w:rPr>
      </w:pPr>
      <w:r w:rsidRPr="00EB28A8">
        <w:rPr>
          <w:rStyle w:val="EndnoteReference"/>
        </w:rPr>
        <w:endnoteRef/>
      </w:r>
      <w:r w:rsidRPr="00863426">
        <w:rPr>
          <w:lang w:val="fr-FR"/>
        </w:rPr>
        <w:t xml:space="preserve"> Arrêt de la Cour de 3 septembre 2025: Ministère Public et la Partie civile KAMOA COPPER SA, contre 27 prévenus poursuivis pour rébellion et coups et blessure volontaires simples.</w:t>
      </w:r>
    </w:p>
  </w:endnote>
  <w:endnote w:id="23">
    <w:p w14:paraId="4D2B3F02" w14:textId="77777777" w:rsidR="000425E2" w:rsidRPr="00863426" w:rsidRDefault="000425E2" w:rsidP="000425E2">
      <w:pPr>
        <w:rPr>
          <w:sz w:val="20"/>
          <w:szCs w:val="20"/>
          <w:lang w:val="fr-FR"/>
        </w:rPr>
      </w:pPr>
      <w:r w:rsidRPr="00EB28A8">
        <w:rPr>
          <w:rStyle w:val="EndnoteReference"/>
          <w:sz w:val="20"/>
          <w:szCs w:val="20"/>
        </w:rPr>
        <w:endnoteRef/>
      </w:r>
      <w:r w:rsidRPr="00863426">
        <w:rPr>
          <w:sz w:val="20"/>
          <w:szCs w:val="20"/>
          <w:lang w:val="fr-FR"/>
        </w:rPr>
        <w:t xml:space="preserve"> Initiative pour la Bonne Gouvernance et les Droits Humains (IBGDH) (2025, 20 August), Communique de presse: L’entreprise KAMOA Copper S.A., un prédateur sans pitié vis-à-vis des communautés locales.</w:t>
      </w:r>
    </w:p>
  </w:endnote>
  <w:endnote w:id="24">
    <w:p w14:paraId="0F1D0BF7" w14:textId="77777777" w:rsidR="000425E2" w:rsidRPr="00863426" w:rsidRDefault="000425E2" w:rsidP="000425E2">
      <w:pPr>
        <w:pStyle w:val="EndnoteText"/>
        <w:rPr>
          <w:lang w:val="fr-FR"/>
        </w:rPr>
      </w:pPr>
      <w:r w:rsidRPr="00EB28A8">
        <w:rPr>
          <w:rStyle w:val="EndnoteReference"/>
        </w:rPr>
        <w:endnoteRef/>
      </w:r>
      <w:r w:rsidRPr="00863426">
        <w:rPr>
          <w:lang w:val="fr-FR"/>
        </w:rPr>
        <w:t xml:space="preserve"> Initiative pour la Bonne Gouvernance et les Droits Humains. (2022, July), Exploitation du cuivre et du cobalt (2C) dans la province du Lualaba : Un danger pour les droits humains, p. 21-22.</w:t>
      </w:r>
    </w:p>
  </w:endnote>
  <w:endnote w:id="25">
    <w:p w14:paraId="5BBA5EC6" w14:textId="77777777" w:rsidR="005C067E" w:rsidRPr="00D61E22" w:rsidRDefault="005C067E" w:rsidP="005C067E">
      <w:pPr>
        <w:pStyle w:val="EndnoteText"/>
        <w:rPr>
          <w:lang w:val="en-US"/>
        </w:rPr>
      </w:pPr>
      <w:r>
        <w:rPr>
          <w:rStyle w:val="EndnoteReference"/>
        </w:rPr>
        <w:endnoteRef/>
      </w:r>
      <w:r>
        <w:t xml:space="preserve"> </w:t>
      </w:r>
      <w:r w:rsidRPr="00EB28A8">
        <w:t>Amnesty International (2023, September 11), Powering change or business as usual? Human rights and the energy transition in the Democratic Republic of the Congo.</w:t>
      </w:r>
      <w:r>
        <w:t xml:space="preserve"> </w:t>
      </w:r>
      <w:r w:rsidRPr="00EB28A8">
        <w:t>https://www.amnesty.org/en/documents/afr62/7009/2023/en/.</w:t>
      </w:r>
    </w:p>
  </w:endnote>
  <w:endnote w:id="26">
    <w:p w14:paraId="17D2C1F3" w14:textId="77777777" w:rsidR="005C067E" w:rsidRPr="00D61E22" w:rsidRDefault="005C067E" w:rsidP="005C067E">
      <w:pPr>
        <w:pStyle w:val="EndnoteText"/>
        <w:rPr>
          <w:lang w:val="en-US"/>
        </w:rPr>
      </w:pPr>
      <w:r>
        <w:rPr>
          <w:rStyle w:val="EndnoteReference"/>
        </w:rPr>
        <w:endnoteRef/>
      </w:r>
      <w:r>
        <w:t xml:space="preserve"> </w:t>
      </w:r>
      <w:r w:rsidRPr="00D61E22">
        <w:rPr>
          <w:lang w:val="en-US"/>
        </w:rPr>
        <w:t xml:space="preserve">Laplane, J., P. Boev, C. Rajeevan, M. Stravens and W. Warmerdam (2025, November), </w:t>
      </w:r>
      <w:r w:rsidRPr="00D61E22">
        <w:rPr>
          <w:i/>
          <w:iCs/>
          <w:lang w:val="en-US"/>
        </w:rPr>
        <w:t>Financing</w:t>
      </w:r>
      <w:r>
        <w:rPr>
          <w:i/>
          <w:iCs/>
          <w:lang w:val="en-US"/>
        </w:rPr>
        <w:t xml:space="preserve"> </w:t>
      </w:r>
      <w:r w:rsidRPr="00D61E22">
        <w:rPr>
          <w:i/>
          <w:iCs/>
          <w:lang w:val="en-US"/>
        </w:rPr>
        <w:t>Critical Minerals but Failing Critical Safeguards: Are banks and investors doing enough to ensure</w:t>
      </w:r>
      <w:r>
        <w:rPr>
          <w:i/>
          <w:iCs/>
          <w:lang w:val="en-US"/>
        </w:rPr>
        <w:t xml:space="preserve"> </w:t>
      </w:r>
      <w:r w:rsidRPr="00D61E22">
        <w:rPr>
          <w:i/>
          <w:iCs/>
          <w:lang w:val="en-US"/>
        </w:rPr>
        <w:t xml:space="preserve">the energy transition is fair for all?, </w:t>
      </w:r>
      <w:r w:rsidRPr="00D61E22">
        <w:rPr>
          <w:lang w:val="en-US"/>
        </w:rPr>
        <w:t>Amsterdam, The Netherlands: Profundo and Fair Finance</w:t>
      </w:r>
      <w:r>
        <w:rPr>
          <w:lang w:val="en-US"/>
        </w:rPr>
        <w:t xml:space="preserve"> </w:t>
      </w:r>
      <w:r w:rsidRPr="00D61E22">
        <w:rPr>
          <w:lang w:val="en-US"/>
        </w:rPr>
        <w:t>International, The Hague, The Netherlands.</w:t>
      </w:r>
    </w:p>
  </w:endnote>
  <w:endnote w:id="27">
    <w:p w14:paraId="0B674FF6" w14:textId="77777777" w:rsidR="005C067E" w:rsidRPr="006479B8" w:rsidRDefault="005C067E" w:rsidP="005C067E">
      <w:pPr>
        <w:pStyle w:val="EndnoteText"/>
        <w:rPr>
          <w:lang w:val="nl-NL"/>
        </w:rPr>
      </w:pPr>
      <w:r>
        <w:rPr>
          <w:rStyle w:val="EndnoteReference"/>
        </w:rPr>
        <w:endnoteRef/>
      </w:r>
      <w:r w:rsidRPr="006479B8">
        <w:rPr>
          <w:lang w:val="nl-NL"/>
        </w:rPr>
        <w:t xml:space="preserve"> Voor de data van de beleggingen van Allianz en ABN AMRO is ge</w:t>
      </w:r>
      <w:r>
        <w:rPr>
          <w:lang w:val="nl-NL"/>
        </w:rPr>
        <w:t xml:space="preserve">bruik gemaakt van de Mining and Money database van Profundo, </w:t>
      </w:r>
      <w:r w:rsidRPr="006479B8">
        <w:rPr>
          <w:lang w:val="nl-NL"/>
        </w:rPr>
        <w:t>peildatum juli 2025</w:t>
      </w:r>
      <w:r>
        <w:rPr>
          <w:lang w:val="nl-NL"/>
        </w:rPr>
        <w:t xml:space="preserve">. </w:t>
      </w:r>
      <w:r>
        <w:rPr>
          <w:lang w:val="nl-NL"/>
        </w:rPr>
        <w:br/>
        <w:t xml:space="preserve">Voor de beleggingen van de pensioenfondsen is gebruik gemaakt van de informatie beschikbaar op de website van de pensioenfondsen zelf. </w:t>
      </w:r>
      <w:r>
        <w:rPr>
          <w:lang w:val="nl-NL"/>
        </w:rPr>
        <w:br/>
        <w:t xml:space="preserve">Zie voor ABP: </w:t>
      </w:r>
      <w:r w:rsidRPr="006479B8">
        <w:rPr>
          <w:i/>
          <w:iCs/>
          <w:lang w:val="nl-NL"/>
        </w:rPr>
        <w:t>Beleggingen per 30 juni 2025</w:t>
      </w:r>
      <w:r w:rsidRPr="006479B8">
        <w:rPr>
          <w:lang w:val="nl-NL"/>
        </w:rPr>
        <w:t>, p.</w:t>
      </w:r>
      <w:r>
        <w:rPr>
          <w:lang w:val="nl-NL"/>
        </w:rPr>
        <w:t xml:space="preserve"> 6 en </w:t>
      </w:r>
      <w:r w:rsidRPr="006479B8">
        <w:rPr>
          <w:lang w:val="nl-NL"/>
        </w:rPr>
        <w:t>31.</w:t>
      </w:r>
      <w:r>
        <w:rPr>
          <w:lang w:val="nl-NL"/>
        </w:rPr>
        <w:t xml:space="preserve"> </w:t>
      </w:r>
      <w:hyperlink r:id="rId3" w:history="1">
        <w:r w:rsidRPr="00474802">
          <w:rPr>
            <w:rStyle w:val="Hyperlink"/>
            <w:lang w:val="nl-NL"/>
          </w:rPr>
          <w:t>https://www.abp.nl/content/dam/abp/documenten/beleggen/abp-beursgenoteerde-beleggingen.pdf</w:t>
        </w:r>
      </w:hyperlink>
      <w:r>
        <w:rPr>
          <w:lang w:val="nl-NL"/>
        </w:rPr>
        <w:t xml:space="preserve">. </w:t>
      </w:r>
      <w:r>
        <w:rPr>
          <w:lang w:val="nl-NL"/>
        </w:rPr>
        <w:br/>
        <w:t xml:space="preserve">Zie voor Pensioenfonds Detailhandel: </w:t>
      </w:r>
      <w:r w:rsidRPr="006E2CEE">
        <w:rPr>
          <w:i/>
          <w:iCs/>
          <w:lang w:val="nl-NL"/>
        </w:rPr>
        <w:t>Beleggingen per 30 juni 2025</w:t>
      </w:r>
      <w:r w:rsidRPr="006E2CEE">
        <w:rPr>
          <w:lang w:val="nl-NL"/>
        </w:rPr>
        <w:t>, p.70.</w:t>
      </w:r>
      <w:r>
        <w:rPr>
          <w:lang w:val="nl-NL"/>
        </w:rPr>
        <w:t xml:space="preserve"> </w:t>
      </w:r>
      <w:r w:rsidRPr="006E2CEE">
        <w:rPr>
          <w:lang w:val="nl-NL"/>
        </w:rPr>
        <w:t>https://pensioenfondsdetailhandel.nl/content/pdfs/Beleggingen-Pensioenfonds-Detailhandel.pdf</w:t>
      </w:r>
      <w:r>
        <w:rPr>
          <w:lang w:val="nl-NL"/>
        </w:rPr>
        <w:t>.</w:t>
      </w:r>
      <w:r>
        <w:rPr>
          <w:lang w:val="nl-NL"/>
        </w:rPr>
        <w:br/>
        <w:t xml:space="preserve">Zie voor BpfBOUW: </w:t>
      </w:r>
      <w:r w:rsidRPr="006E2CEE">
        <w:rPr>
          <w:i/>
          <w:iCs/>
          <w:lang w:val="nl-NL"/>
        </w:rPr>
        <w:t>Beleggingen per 30 juni 2025</w:t>
      </w:r>
      <w:r w:rsidRPr="006479B8">
        <w:rPr>
          <w:lang w:val="nl-NL"/>
        </w:rPr>
        <w:t xml:space="preserve">, p.34. </w:t>
      </w:r>
      <w:hyperlink r:id="rId4" w:history="1">
        <w:r w:rsidRPr="009F4799">
          <w:rPr>
            <w:rStyle w:val="Hyperlink"/>
          </w:rPr>
          <w:t>https://www.bpfbouw.nl/content/dam/bpfbouw/documenten/beleggen/bpfbouw-aandelenportefeuille.pdf</w:t>
        </w:r>
      </w:hyperlink>
      <w:r w:rsidRPr="009F4799">
        <w:t xml:space="preserve">. </w:t>
      </w:r>
      <w:r w:rsidRPr="009F4799">
        <w:br/>
      </w:r>
      <w:r>
        <w:rPr>
          <w:lang w:val="nl-NL"/>
        </w:rPr>
        <w:t xml:space="preserve">Zie voor Pensioenfonds Vervoer: </w:t>
      </w:r>
      <w:r w:rsidRPr="006479B8">
        <w:rPr>
          <w:i/>
          <w:iCs/>
          <w:lang w:val="nl-NL"/>
        </w:rPr>
        <w:t>Lijst van beleggingen – Pensioenfonds Vervoer</w:t>
      </w:r>
      <w:r w:rsidRPr="006479B8">
        <w:rPr>
          <w:lang w:val="nl-NL"/>
        </w:rPr>
        <w:t xml:space="preserve">. Per 31-12-2024, p.8. </w:t>
      </w:r>
      <w:hyperlink r:id="rId5" w:history="1">
        <w:r w:rsidRPr="009F4799">
          <w:rPr>
            <w:rStyle w:val="Hyperlink"/>
          </w:rPr>
          <w:t>https://www.pfvervoer.nl/sites/default/files/documenten/overzicht-beleggingen.pdf</w:t>
        </w:r>
      </w:hyperlink>
      <w:r w:rsidRPr="009F4799">
        <w:t xml:space="preserve">. </w:t>
      </w:r>
      <w:r w:rsidRPr="009F4799">
        <w:br/>
      </w:r>
      <w:r>
        <w:rPr>
          <w:lang w:val="nl-NL"/>
        </w:rPr>
        <w:t xml:space="preserve">Zie voor StiPP: </w:t>
      </w:r>
      <w:r w:rsidRPr="006E2CEE">
        <w:rPr>
          <w:i/>
          <w:iCs/>
          <w:lang w:val="nl-NL"/>
        </w:rPr>
        <w:t>Staatsobligaties, aandelen, vastgoed en bedrijfsobligaties</w:t>
      </w:r>
      <w:r w:rsidRPr="006E2CEE">
        <w:rPr>
          <w:lang w:val="nl-NL"/>
        </w:rPr>
        <w:t>. Per 31 december 2024, p.12.</w:t>
      </w:r>
      <w:r>
        <w:rPr>
          <w:lang w:val="nl-NL"/>
        </w:rPr>
        <w:t xml:space="preserve"> </w:t>
      </w:r>
      <w:r w:rsidRPr="006E2CEE">
        <w:rPr>
          <w:lang w:val="nl-NL"/>
        </w:rPr>
        <w:t>https://www.stippensioen.nl/media/y3rdl1yf/stipp_beleggingen_overzicht_2025.pdf</w:t>
      </w:r>
      <w:r>
        <w:rPr>
          <w:lang w:val="nl-NL"/>
        </w:rPr>
        <w:t>.</w:t>
      </w:r>
    </w:p>
  </w:endnote>
  <w:endnote w:id="28">
    <w:p w14:paraId="3F949003" w14:textId="019C7816" w:rsidR="009E0DEB" w:rsidRPr="00E51466" w:rsidRDefault="009E0DEB">
      <w:pPr>
        <w:pStyle w:val="EndnoteText"/>
        <w:rPr>
          <w:lang w:val="nl-NL"/>
        </w:rPr>
      </w:pPr>
      <w:r>
        <w:rPr>
          <w:rStyle w:val="EndnoteReference"/>
        </w:rPr>
        <w:endnoteRef/>
      </w:r>
      <w:r w:rsidRPr="00E51466">
        <w:rPr>
          <w:lang w:val="nl-NL"/>
        </w:rPr>
        <w:t xml:space="preserve"> </w:t>
      </w:r>
      <w:r w:rsidR="00A963AC">
        <w:rPr>
          <w:lang w:val="nl-NL"/>
        </w:rPr>
        <w:t>Zie v</w:t>
      </w:r>
      <w:r w:rsidR="00221665" w:rsidRPr="00E51466">
        <w:rPr>
          <w:lang w:val="nl-NL"/>
        </w:rPr>
        <w:t xml:space="preserve">oor Allianz: </w:t>
      </w:r>
      <w:r w:rsidR="00B6227B" w:rsidRPr="00E51466">
        <w:rPr>
          <w:lang w:val="nl-NL"/>
        </w:rPr>
        <w:t xml:space="preserve">Respecting human rights </w:t>
      </w:r>
      <w:r w:rsidR="003B756E">
        <w:rPr>
          <w:lang w:val="nl-NL"/>
        </w:rPr>
        <w:t>(</w:t>
      </w:r>
      <w:r w:rsidR="00B6227B" w:rsidRPr="00E51466">
        <w:rPr>
          <w:lang w:val="nl-NL"/>
        </w:rPr>
        <w:t>2025</w:t>
      </w:r>
      <w:r w:rsidR="003B756E">
        <w:rPr>
          <w:lang w:val="nl-NL"/>
        </w:rPr>
        <w:t>)</w:t>
      </w:r>
      <w:r w:rsidR="00B6227B" w:rsidRPr="00E51466">
        <w:rPr>
          <w:lang w:val="nl-NL"/>
        </w:rPr>
        <w:t xml:space="preserve">. </w:t>
      </w:r>
      <w:r w:rsidR="00221665" w:rsidRPr="00E51466">
        <w:rPr>
          <w:lang w:val="nl-NL"/>
        </w:rPr>
        <w:t>https://www.allianz.com/en/sustainability/sustainability-hub/sustainability-at-allianz/social-approach/human-rights.html.</w:t>
      </w:r>
      <w:r w:rsidR="00221665" w:rsidRPr="00E51466">
        <w:rPr>
          <w:lang w:val="nl-NL"/>
        </w:rPr>
        <w:br/>
      </w:r>
      <w:r w:rsidR="00A963AC">
        <w:rPr>
          <w:lang w:val="nl-NL"/>
        </w:rPr>
        <w:t>Zie v</w:t>
      </w:r>
      <w:r w:rsidR="00221665" w:rsidRPr="00E51466">
        <w:rPr>
          <w:lang w:val="nl-NL"/>
        </w:rPr>
        <w:t xml:space="preserve">oor ABP: </w:t>
      </w:r>
      <w:r w:rsidR="00E51466" w:rsidRPr="00E51466">
        <w:rPr>
          <w:lang w:val="nl-NL"/>
        </w:rPr>
        <w:t>Mensenrec</w:t>
      </w:r>
      <w:r w:rsidR="00E51466">
        <w:rPr>
          <w:lang w:val="nl-NL"/>
        </w:rPr>
        <w:t xml:space="preserve">hten en goed bestuur. </w:t>
      </w:r>
      <w:r w:rsidR="00E51466" w:rsidRPr="00E51466">
        <w:rPr>
          <w:lang w:val="nl-NL"/>
        </w:rPr>
        <w:t>https://www.abp.nl/over-</w:t>
      </w:r>
      <w:r w:rsidR="00C40731">
        <w:rPr>
          <w:lang w:val="nl-NL"/>
        </w:rPr>
        <w:t>a</w:t>
      </w:r>
      <w:r w:rsidR="00E51466" w:rsidRPr="00E51466">
        <w:rPr>
          <w:lang w:val="nl-NL"/>
        </w:rPr>
        <w:t>bp/beleggingen/duurzaamheid/mensenrechten-en-goed-bestuur</w:t>
      </w:r>
      <w:r w:rsidR="00E51466">
        <w:rPr>
          <w:lang w:val="nl-NL"/>
        </w:rPr>
        <w:t>.</w:t>
      </w:r>
      <w:r w:rsidR="00A963AC">
        <w:rPr>
          <w:lang w:val="nl-NL"/>
        </w:rPr>
        <w:br/>
        <w:t>Zie voor Pensioenfonds Detailhandel:</w:t>
      </w:r>
      <w:r w:rsidR="00AC596C">
        <w:rPr>
          <w:lang w:val="nl-NL"/>
        </w:rPr>
        <w:t xml:space="preserve"> Verantwoord beleggen initiatieven. </w:t>
      </w:r>
      <w:r w:rsidR="00A963AC">
        <w:rPr>
          <w:lang w:val="nl-NL"/>
        </w:rPr>
        <w:t xml:space="preserve"> </w:t>
      </w:r>
      <w:r w:rsidR="00A963AC" w:rsidRPr="00A963AC">
        <w:rPr>
          <w:lang w:val="nl-NL"/>
        </w:rPr>
        <w:t>https://pensioenfondsdetailhandel.nl/mvb-detail-page/verantwoord-beleggen-initiatieven</w:t>
      </w:r>
      <w:r w:rsidR="00A963AC">
        <w:rPr>
          <w:lang w:val="nl-NL"/>
        </w:rPr>
        <w:t>.</w:t>
      </w:r>
      <w:r w:rsidR="00A963AC">
        <w:rPr>
          <w:lang w:val="nl-NL"/>
        </w:rPr>
        <w:br/>
      </w:r>
      <w:r w:rsidR="003C0393">
        <w:rPr>
          <w:lang w:val="nl-NL"/>
        </w:rPr>
        <w:t>Zie voor BpfBOUW:</w:t>
      </w:r>
      <w:r w:rsidR="00940234">
        <w:rPr>
          <w:lang w:val="nl-NL"/>
        </w:rPr>
        <w:t xml:space="preserve"> Regelgeving duurzaamheidsfactoren.</w:t>
      </w:r>
      <w:r w:rsidR="003C0393">
        <w:rPr>
          <w:lang w:val="nl-NL"/>
        </w:rPr>
        <w:t xml:space="preserve"> </w:t>
      </w:r>
      <w:r w:rsidR="00940234" w:rsidRPr="00940234">
        <w:rPr>
          <w:lang w:val="nl-NL"/>
        </w:rPr>
        <w:t>https://www.bpfbouw.nl/over-bpfbouw/beleggen/regelgeving-duurzaamheidsfactoren</w:t>
      </w:r>
      <w:r w:rsidR="00940234">
        <w:rPr>
          <w:lang w:val="nl-NL"/>
        </w:rPr>
        <w:t>.</w:t>
      </w:r>
      <w:r w:rsidR="00940234">
        <w:rPr>
          <w:lang w:val="nl-NL"/>
        </w:rPr>
        <w:br/>
        <w:t>Zie voor</w:t>
      </w:r>
      <w:r w:rsidR="00EE6D2E">
        <w:rPr>
          <w:lang w:val="nl-NL"/>
        </w:rPr>
        <w:t xml:space="preserve"> Pensioenfonds Vervoer: Verantwoord beleggen. </w:t>
      </w:r>
      <w:r w:rsidR="00EE6D2E" w:rsidRPr="00EE6D2E">
        <w:rPr>
          <w:lang w:val="nl-NL"/>
        </w:rPr>
        <w:t>https://www.pfvervoer.nl/over-ons/beleggen/verantwoord-beleggen</w:t>
      </w:r>
      <w:r w:rsidR="00EE6D2E">
        <w:rPr>
          <w:lang w:val="nl-NL"/>
        </w:rPr>
        <w:t>.</w:t>
      </w:r>
      <w:r w:rsidR="00175CA7">
        <w:rPr>
          <w:lang w:val="nl-NL"/>
        </w:rPr>
        <w:br/>
        <w:t>Zie voor ABN AMRO:</w:t>
      </w:r>
      <w:r w:rsidR="003B756E">
        <w:rPr>
          <w:lang w:val="nl-NL"/>
        </w:rPr>
        <w:t xml:space="preserve"> Respecting Human Rights (2025).</w:t>
      </w:r>
      <w:r w:rsidR="00DB6C58">
        <w:rPr>
          <w:lang w:val="nl-NL"/>
        </w:rPr>
        <w:t xml:space="preserve"> </w:t>
      </w:r>
      <w:r w:rsidR="00DB6C58" w:rsidRPr="00DB6C58">
        <w:rPr>
          <w:lang w:val="nl-NL"/>
        </w:rPr>
        <w:t>https://www.abnamro.com/br/en/about-abn-amro/information/respecting-human-rights</w:t>
      </w:r>
      <w:r w:rsidR="00DB6C58">
        <w:rPr>
          <w:lang w:val="nl-NL"/>
        </w:rPr>
        <w:t>.</w:t>
      </w:r>
      <w:r w:rsidR="00175CA7">
        <w:rPr>
          <w:lang w:val="nl-NL"/>
        </w:rPr>
        <w:br/>
        <w:t xml:space="preserve">Zie voor StiPP: </w:t>
      </w:r>
      <w:r w:rsidR="006635A0">
        <w:rPr>
          <w:lang w:val="nl-NL"/>
        </w:rPr>
        <w:t xml:space="preserve">Jaarverslag verantwoord beleggen 2024. </w:t>
      </w:r>
      <w:r w:rsidR="009E5DAD" w:rsidRPr="009E5DAD">
        <w:rPr>
          <w:lang w:val="nl-NL"/>
        </w:rPr>
        <w:t>https://www.stippensioen.nl/media/2p5mjmag/stipp-mvb-jaarverslag-2024.pdf</w:t>
      </w:r>
      <w:r w:rsidR="009E5DAD">
        <w:rPr>
          <w:lang w:val="nl-NL"/>
        </w:rPr>
        <w:t>.</w:t>
      </w:r>
    </w:p>
  </w:endnote>
  <w:endnote w:id="29">
    <w:p w14:paraId="62DD8BC1" w14:textId="0C12BA72" w:rsidR="00540178" w:rsidRPr="00D67AFC" w:rsidRDefault="00540178" w:rsidP="00D67AFC">
      <w:pPr>
        <w:pStyle w:val="EndnoteText"/>
      </w:pPr>
      <w:r>
        <w:rPr>
          <w:rStyle w:val="EndnoteReference"/>
        </w:rPr>
        <w:endnoteRef/>
      </w:r>
      <w:r w:rsidRPr="00D67AFC">
        <w:rPr>
          <w:lang w:val="en-US"/>
        </w:rPr>
        <w:t xml:space="preserve"> </w:t>
      </w:r>
      <w:r w:rsidR="00D67AFC" w:rsidRPr="00EB28A8">
        <w:t xml:space="preserve">Amnesty International (2023, September 11), </w:t>
      </w:r>
      <w:r w:rsidR="00D67AFC" w:rsidRPr="00D67AFC">
        <w:rPr>
          <w:i/>
          <w:iCs/>
        </w:rPr>
        <w:t>Powering change or business as usual? Human rights and the energy transition in the Democratic Republic of the Congo</w:t>
      </w:r>
      <w:r w:rsidR="00D67AFC">
        <w:t xml:space="preserve">. </w:t>
      </w:r>
      <w:r w:rsidR="00D67AFC" w:rsidRPr="00EB28A8">
        <w:t>https://www.amnesty.org/en/documents/afr62/7009/2023/en/.</w:t>
      </w:r>
    </w:p>
  </w:endnote>
  <w:endnote w:id="30">
    <w:p w14:paraId="767575EE" w14:textId="25125B20" w:rsidR="00B9401D" w:rsidRPr="00F62BD3" w:rsidRDefault="00B9401D">
      <w:pPr>
        <w:pStyle w:val="EndnoteText"/>
        <w:rPr>
          <w:lang w:val="en-US"/>
        </w:rPr>
      </w:pPr>
      <w:r>
        <w:rPr>
          <w:rStyle w:val="EndnoteReference"/>
        </w:rPr>
        <w:endnoteRef/>
      </w:r>
      <w:r w:rsidRPr="00F62BD3">
        <w:rPr>
          <w:lang w:val="en-US"/>
        </w:rPr>
        <w:t xml:space="preserve"> </w:t>
      </w:r>
      <w:r w:rsidR="00F62BD3" w:rsidRPr="00F62BD3">
        <w:rPr>
          <w:lang w:val="en-US"/>
        </w:rPr>
        <w:t>Allianz Global Investment.</w:t>
      </w:r>
      <w:r w:rsidR="006454F2">
        <w:rPr>
          <w:lang w:val="en-US"/>
        </w:rPr>
        <w:t xml:space="preserve"> </w:t>
      </w:r>
      <w:r w:rsidR="006454F2">
        <w:rPr>
          <w:i/>
          <w:iCs/>
          <w:lang w:val="en-US"/>
        </w:rPr>
        <w:t>Sustainable Investing and Stewardship Report 2024</w:t>
      </w:r>
      <w:r w:rsidR="00132C98">
        <w:rPr>
          <w:lang w:val="en-US"/>
        </w:rPr>
        <w:t xml:space="preserve"> (2025</w:t>
      </w:r>
      <w:r w:rsidR="00C76827">
        <w:rPr>
          <w:lang w:val="en-US"/>
        </w:rPr>
        <w:t>, April</w:t>
      </w:r>
      <w:r w:rsidR="00132C98">
        <w:rPr>
          <w:lang w:val="en-US"/>
        </w:rPr>
        <w:t>).</w:t>
      </w:r>
      <w:r w:rsidR="00F62BD3" w:rsidRPr="00F62BD3">
        <w:rPr>
          <w:lang w:val="en-US"/>
        </w:rPr>
        <w:t xml:space="preserve"> https://sg.allianzgi.com/documents/AllianzGI-Sustainable-Investing-and-Stewardship-Report-2024-EN-Apr25-SG</w:t>
      </w:r>
      <w:r w:rsidR="00C76827">
        <w:rPr>
          <w:lang w:val="en-US"/>
        </w:rPr>
        <w:t>.</w:t>
      </w:r>
    </w:p>
  </w:endnote>
  <w:endnote w:id="31">
    <w:p w14:paraId="68A6FE45" w14:textId="77C2719B" w:rsidR="007100C0" w:rsidRPr="00811B9F" w:rsidRDefault="007100C0" w:rsidP="007100C0">
      <w:pPr>
        <w:pStyle w:val="EndnoteText"/>
        <w:rPr>
          <w:lang w:val="nl-NL"/>
        </w:rPr>
      </w:pPr>
      <w:r>
        <w:rPr>
          <w:rStyle w:val="EndnoteReference"/>
        </w:rPr>
        <w:endnoteRef/>
      </w:r>
      <w:r w:rsidRPr="00811B9F">
        <w:rPr>
          <w:lang w:val="nl-NL"/>
        </w:rPr>
        <w:t xml:space="preserve"> </w:t>
      </w:r>
      <w:r w:rsidR="00DD368A">
        <w:rPr>
          <w:lang w:val="nl-NL"/>
        </w:rPr>
        <w:t xml:space="preserve">ABP. Engagement met bedrijven 2024. </w:t>
      </w:r>
      <w:r w:rsidR="00DD368A" w:rsidRPr="00DD368A">
        <w:rPr>
          <w:lang w:val="nl-NL"/>
        </w:rPr>
        <w:t>https://www.abp.nl/content/dam/abp/documenten/beleggen/engagement-bedrijven.pdf</w:t>
      </w:r>
      <w:r w:rsidR="00DD368A">
        <w:rPr>
          <w:lang w:val="nl-NL"/>
        </w:rPr>
        <w:t>.</w:t>
      </w:r>
      <w:r>
        <w:rPr>
          <w:lang w:val="nl-NL"/>
        </w:rPr>
        <w:t xml:space="preserve"> </w:t>
      </w:r>
    </w:p>
  </w:endnote>
  <w:endnote w:id="32">
    <w:p w14:paraId="01F25922" w14:textId="64B89452" w:rsidR="00811B9F" w:rsidRPr="00046807" w:rsidRDefault="00811B9F">
      <w:pPr>
        <w:pStyle w:val="EndnoteText"/>
      </w:pPr>
      <w:r>
        <w:rPr>
          <w:rStyle w:val="EndnoteReference"/>
        </w:rPr>
        <w:endnoteRef/>
      </w:r>
      <w:r w:rsidRPr="00811B9F">
        <w:rPr>
          <w:lang w:val="nl-NL"/>
        </w:rPr>
        <w:t xml:space="preserve"> </w:t>
      </w:r>
      <w:r w:rsidR="00D563B7">
        <w:rPr>
          <w:lang w:val="nl-NL"/>
        </w:rPr>
        <w:t xml:space="preserve">BpfBOUW. Engagement met bedrijven in 2024. </w:t>
      </w:r>
      <w:hyperlink r:id="rId6" w:history="1">
        <w:r w:rsidR="00D563B7" w:rsidRPr="00046807">
          <w:rPr>
            <w:rStyle w:val="Hyperlink"/>
          </w:rPr>
          <w:t>https://www.bpfbouw.nl/content/dam/bpfbouw/documenten/beleggen/engagementlist-bedrijven-2024-bpfbouw.pdf</w:t>
        </w:r>
      </w:hyperlink>
      <w:r w:rsidR="00D563B7" w:rsidRPr="00046807">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879753"/>
      <w:docPartObj>
        <w:docPartGallery w:val="Page Numbers (Bottom of Page)"/>
        <w:docPartUnique/>
      </w:docPartObj>
    </w:sdtPr>
    <w:sdtEndPr/>
    <w:sdtContent>
      <w:p w14:paraId="68E28C33" w14:textId="77777777" w:rsidR="00F45D03" w:rsidRPr="00023D7D" w:rsidRDefault="00F45D03" w:rsidP="00620EFA">
        <w:pPr>
          <w:pStyle w:val="Footer"/>
          <w:tabs>
            <w:tab w:val="clear" w:pos="4536"/>
            <w:tab w:val="clear" w:pos="9072"/>
            <w:tab w:val="right" w:pos="9751"/>
          </w:tabs>
        </w:pPr>
        <w:r>
          <w:softHyphen/>
        </w:r>
        <w:r w:rsidRPr="00023D7D">
          <w:tab/>
        </w:r>
        <w:r w:rsidRPr="00CF7425">
          <w:rPr>
            <w:sz w:val="20"/>
          </w:rPr>
          <w:t>Page</w:t>
        </w:r>
        <w:r w:rsidRPr="00023D7D">
          <w:rPr>
            <w:sz w:val="20"/>
          </w:rPr>
          <w:t xml:space="preserve"> | </w:t>
        </w:r>
        <w:r w:rsidRPr="00023D7D">
          <w:rPr>
            <w:b/>
            <w:sz w:val="20"/>
          </w:rPr>
          <w:fldChar w:fldCharType="begin"/>
        </w:r>
        <w:r w:rsidRPr="00023D7D">
          <w:rPr>
            <w:b/>
            <w:sz w:val="20"/>
          </w:rPr>
          <w:instrText xml:space="preserve"> PAGE   \* MERGEFORMAT </w:instrText>
        </w:r>
        <w:r w:rsidRPr="00023D7D">
          <w:rPr>
            <w:b/>
            <w:sz w:val="20"/>
          </w:rPr>
          <w:fldChar w:fldCharType="separate"/>
        </w:r>
        <w:r w:rsidRPr="00023D7D">
          <w:rPr>
            <w:b/>
            <w:noProof/>
            <w:sz w:val="20"/>
          </w:rPr>
          <w:t>5</w:t>
        </w:r>
        <w:r w:rsidRPr="00023D7D">
          <w:rPr>
            <w:b/>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106129"/>
      <w:docPartObj>
        <w:docPartGallery w:val="Page Numbers (Bottom of Page)"/>
        <w:docPartUnique/>
      </w:docPartObj>
    </w:sdtPr>
    <w:sdtEndPr/>
    <w:sdtContent>
      <w:p w14:paraId="0C543020" w14:textId="77777777" w:rsidR="00F45D03" w:rsidRPr="00023D7D" w:rsidRDefault="00F45D03" w:rsidP="00620EFA">
        <w:pPr>
          <w:pStyle w:val="Footer"/>
          <w:tabs>
            <w:tab w:val="clear" w:pos="4536"/>
            <w:tab w:val="clear" w:pos="9072"/>
            <w:tab w:val="right" w:pos="9751"/>
          </w:tabs>
        </w:pPr>
        <w:r>
          <w:softHyphen/>
        </w:r>
        <w:r w:rsidRPr="00023D7D">
          <w:tab/>
        </w:r>
        <w:r w:rsidRPr="00CF7425">
          <w:rPr>
            <w:sz w:val="20"/>
          </w:rPr>
          <w:t>Page</w:t>
        </w:r>
        <w:r w:rsidRPr="00023D7D">
          <w:rPr>
            <w:sz w:val="20"/>
          </w:rPr>
          <w:t xml:space="preserve"> | </w:t>
        </w:r>
        <w:r w:rsidRPr="00023D7D">
          <w:rPr>
            <w:b/>
            <w:sz w:val="20"/>
          </w:rPr>
          <w:fldChar w:fldCharType="begin"/>
        </w:r>
        <w:r w:rsidRPr="00023D7D">
          <w:rPr>
            <w:b/>
            <w:sz w:val="20"/>
          </w:rPr>
          <w:instrText xml:space="preserve"> PAGE   \* MERGEFORMAT </w:instrText>
        </w:r>
        <w:r w:rsidRPr="00023D7D">
          <w:rPr>
            <w:b/>
            <w:sz w:val="20"/>
          </w:rPr>
          <w:fldChar w:fldCharType="separate"/>
        </w:r>
        <w:r w:rsidRPr="00023D7D">
          <w:rPr>
            <w:b/>
            <w:noProof/>
            <w:sz w:val="20"/>
          </w:rPr>
          <w:t>5</w:t>
        </w:r>
        <w:r w:rsidRPr="00023D7D">
          <w:rPr>
            <w:b/>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EEA5" w14:textId="77777777" w:rsidR="00BF3800" w:rsidRDefault="00BF3800" w:rsidP="00320ABA">
    <w:pPr>
      <w:pStyle w:val="Footer"/>
      <w:tabs>
        <w:tab w:val="clear" w:pos="4536"/>
        <w:tab w:val="clear" w:pos="9072"/>
        <w:tab w:val="right" w:pos="9751"/>
      </w:tabs>
      <w:jc w:val="right"/>
      <w:rPr>
        <w:color w:val="585855"/>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DC5F" w14:textId="77777777" w:rsidR="008A1B06" w:rsidRDefault="008A1B06" w:rsidP="00DC6F29">
      <w:pPr>
        <w:spacing w:after="0"/>
      </w:pPr>
      <w:r>
        <w:separator/>
      </w:r>
    </w:p>
  </w:footnote>
  <w:footnote w:type="continuationSeparator" w:id="0">
    <w:p w14:paraId="0B4D4163" w14:textId="77777777" w:rsidR="008A1B06" w:rsidRDefault="008A1B06" w:rsidP="00DC6F29">
      <w:pPr>
        <w:spacing w:after="0"/>
      </w:pPr>
      <w:r>
        <w:continuationSeparator/>
      </w:r>
    </w:p>
  </w:footnote>
  <w:footnote w:type="continuationNotice" w:id="1">
    <w:p w14:paraId="732D824E" w14:textId="77777777" w:rsidR="008A1B06" w:rsidRDefault="008A1B06" w:rsidP="00983AC0"/>
    <w:p w14:paraId="33ECDE1A" w14:textId="77777777" w:rsidR="008A1B06" w:rsidRDefault="008A1B06" w:rsidP="00983AC0"/>
    <w:p w14:paraId="2111575A" w14:textId="77777777" w:rsidR="008A1B06" w:rsidRDefault="008A1B06" w:rsidP="00983AC0"/>
  </w:footnote>
  <w:footnote w:id="2">
    <w:p w14:paraId="0D681E72" w14:textId="4FE79C29" w:rsidR="000C6653" w:rsidRPr="000C6653" w:rsidRDefault="000C6653">
      <w:pPr>
        <w:pStyle w:val="FootnoteText"/>
        <w:rPr>
          <w:lang w:val="nl-NL"/>
        </w:rPr>
      </w:pPr>
      <w:r>
        <w:rPr>
          <w:rStyle w:val="FootnoteReference"/>
        </w:rPr>
        <w:footnoteRef/>
      </w:r>
      <w:r w:rsidRPr="000C6653">
        <w:rPr>
          <w:lang w:val="nl-NL"/>
        </w:rPr>
        <w:t xml:space="preserve"> </w:t>
      </w:r>
      <w:r>
        <w:rPr>
          <w:lang w:val="nl-NL"/>
        </w:rPr>
        <w:t>De scope van het onderzoek zijn</w:t>
      </w:r>
      <w:r w:rsidR="002D7EF1">
        <w:rPr>
          <w:lang w:val="nl-NL"/>
        </w:rPr>
        <w:t xml:space="preserve"> de acht</w:t>
      </w:r>
      <w:r>
        <w:rPr>
          <w:lang w:val="nl-NL"/>
        </w:rPr>
        <w:t xml:space="preserve"> banken,</w:t>
      </w:r>
      <w:r w:rsidR="002D7EF1">
        <w:rPr>
          <w:lang w:val="nl-NL"/>
        </w:rPr>
        <w:t xml:space="preserve"> tien</w:t>
      </w:r>
      <w:r>
        <w:rPr>
          <w:lang w:val="nl-NL"/>
        </w:rPr>
        <w:t xml:space="preserve"> pensioenfondsen en</w:t>
      </w:r>
      <w:r w:rsidR="002D7EF1">
        <w:rPr>
          <w:lang w:val="nl-NL"/>
        </w:rPr>
        <w:t xml:space="preserve"> zestien</w:t>
      </w:r>
      <w:r>
        <w:rPr>
          <w:lang w:val="nl-NL"/>
        </w:rPr>
        <w:t xml:space="preserve"> verzekeraars die vallen onder de Eerlijke Geldwijzer. Dit </w:t>
      </w:r>
      <w:r w:rsidR="002D7EF1">
        <w:rPr>
          <w:lang w:val="nl-NL"/>
        </w:rPr>
        <w:t xml:space="preserve">zijn de grootste spelers op de Nederlandse markt. </w:t>
      </w:r>
    </w:p>
  </w:footnote>
  <w:footnote w:id="3">
    <w:p w14:paraId="26690E7E" w14:textId="30DF7CCF" w:rsidR="00012BB0" w:rsidRPr="00012BB0" w:rsidRDefault="00012BB0">
      <w:pPr>
        <w:pStyle w:val="FootnoteText"/>
        <w:rPr>
          <w:lang w:val="nl-NL"/>
        </w:rPr>
      </w:pPr>
      <w:r>
        <w:rPr>
          <w:rStyle w:val="FootnoteReference"/>
        </w:rPr>
        <w:footnoteRef/>
      </w:r>
      <w:r w:rsidRPr="00012BB0">
        <w:rPr>
          <w:lang w:val="nl-NL"/>
        </w:rPr>
        <w:t xml:space="preserve"> </w:t>
      </w:r>
      <w:r>
        <w:rPr>
          <w:lang w:val="nl-NL"/>
        </w:rPr>
        <w:t>Pensioenfonds Vervoer heeft wel engagement met Zijin Mining Group over vier andere misstanden op drie andere mijnbouwlocaties</w:t>
      </w:r>
      <w:r w:rsidR="004D6959">
        <w:rPr>
          <w:lang w:val="nl-NL"/>
        </w:rPr>
        <w:t xml:space="preserve"> in Servië, </w:t>
      </w:r>
      <w:r w:rsidR="004D6959" w:rsidRPr="00C42373">
        <w:rPr>
          <w:lang w:val="nl-NL"/>
        </w:rPr>
        <w:t>Papoea-Nieuw-Guinea</w:t>
      </w:r>
      <w:r w:rsidR="004D6959">
        <w:rPr>
          <w:lang w:val="nl-NL"/>
        </w:rPr>
        <w:t xml:space="preserve"> en Peru</w:t>
      </w:r>
      <w:r>
        <w:rPr>
          <w:lang w:val="nl-NL"/>
        </w:rPr>
        <w:t>.</w:t>
      </w:r>
    </w:p>
  </w:footnote>
  <w:footnote w:id="4">
    <w:p w14:paraId="3802E6AB" w14:textId="77777777" w:rsidR="00C42373" w:rsidRPr="00B404D2" w:rsidRDefault="00C42373" w:rsidP="00C42373">
      <w:pPr>
        <w:pStyle w:val="FootnoteText"/>
        <w:rPr>
          <w:lang w:val="nl-NL"/>
        </w:rPr>
      </w:pPr>
      <w:r>
        <w:rPr>
          <w:rStyle w:val="FootnoteReference"/>
        </w:rPr>
        <w:footnoteRef/>
      </w:r>
      <w:r w:rsidRPr="00B404D2">
        <w:rPr>
          <w:lang w:val="nl-NL"/>
        </w:rPr>
        <w:t xml:space="preserve"> </w:t>
      </w:r>
      <w:r>
        <w:rPr>
          <w:lang w:val="nl-NL"/>
        </w:rPr>
        <w:t>D</w:t>
      </w:r>
      <w:r w:rsidRPr="00B404D2">
        <w:rPr>
          <w:lang w:val="nl-NL"/>
        </w:rPr>
        <w:t xml:space="preserve">e Eerlijke Geldwijzer </w:t>
      </w:r>
      <w:r>
        <w:rPr>
          <w:lang w:val="nl-NL"/>
        </w:rPr>
        <w:t>heeft aanvullende juridische documenten ingezien, waaronder het arrest, dat deze gang van zaken bevestigd. Dit document is</w:t>
      </w:r>
      <w:r w:rsidRPr="00B404D2">
        <w:rPr>
          <w:lang w:val="nl-NL"/>
        </w:rPr>
        <w:t xml:space="preserve"> niet publiekelijk toegankelijk.</w:t>
      </w:r>
    </w:p>
  </w:footnote>
  <w:footnote w:id="5">
    <w:p w14:paraId="3E199CB1" w14:textId="260395A2" w:rsidR="007A0A16" w:rsidRPr="007A0A16" w:rsidRDefault="007A0A16">
      <w:pPr>
        <w:pStyle w:val="FootnoteText"/>
        <w:rPr>
          <w:lang w:val="nl-NL"/>
        </w:rPr>
      </w:pPr>
      <w:r>
        <w:rPr>
          <w:rStyle w:val="FootnoteReference"/>
        </w:rPr>
        <w:footnoteRef/>
      </w:r>
      <w:r w:rsidRPr="007A0A16">
        <w:rPr>
          <w:lang w:val="nl-NL"/>
        </w:rPr>
        <w:t xml:space="preserve"> </w:t>
      </w:r>
      <w:r>
        <w:rPr>
          <w:lang w:val="nl-NL"/>
        </w:rPr>
        <w:t xml:space="preserve">Allianz is </w:t>
      </w:r>
      <w:r w:rsidR="00C17B83">
        <w:rPr>
          <w:lang w:val="nl-NL"/>
        </w:rPr>
        <w:t xml:space="preserve">een </w:t>
      </w:r>
      <w:r>
        <w:rPr>
          <w:lang w:val="nl-NL"/>
        </w:rPr>
        <w:t>Duitse verzekeraar die actief is op de Nederlandse markt; ABP is het Algemeen Burgerlijk Pensioenfonds;</w:t>
      </w:r>
      <w:r w:rsidR="00BB6EC8">
        <w:rPr>
          <w:lang w:val="nl-NL"/>
        </w:rPr>
        <w:t xml:space="preserve"> BpfBOUW is het pensioenfonds voor de bouwsector;</w:t>
      </w:r>
      <w:r>
        <w:rPr>
          <w:lang w:val="nl-NL"/>
        </w:rPr>
        <w:t xml:space="preserve"> </w:t>
      </w:r>
      <w:r w:rsidR="00BB6EC8">
        <w:rPr>
          <w:lang w:val="nl-NL"/>
        </w:rPr>
        <w:t xml:space="preserve">StiPP is de </w:t>
      </w:r>
      <w:r w:rsidR="00BB6EC8" w:rsidRPr="00256A9E">
        <w:rPr>
          <w:lang w:val="nl-NL"/>
        </w:rPr>
        <w:t>Stichting Pensioenfonds voor Personeelsdiensten</w:t>
      </w:r>
      <w:r w:rsidR="00BB6EC8">
        <w:rPr>
          <w:lang w:val="nl-NL"/>
        </w:rPr>
        <w:t>.</w:t>
      </w:r>
    </w:p>
  </w:footnote>
  <w:footnote w:id="6">
    <w:p w14:paraId="04DB1847" w14:textId="3C2CD0E2" w:rsidR="000C3FC8" w:rsidRPr="000C3FC8" w:rsidRDefault="000C3FC8">
      <w:pPr>
        <w:pStyle w:val="FootnoteText"/>
        <w:rPr>
          <w:lang w:val="nl-NL"/>
        </w:rPr>
      </w:pPr>
      <w:r>
        <w:rPr>
          <w:rStyle w:val="FootnoteReference"/>
        </w:rPr>
        <w:footnoteRef/>
      </w:r>
      <w:r w:rsidRPr="000C3FC8">
        <w:rPr>
          <w:lang w:val="nl-NL"/>
        </w:rPr>
        <w:t xml:space="preserve"> Voor het beoordelen van </w:t>
      </w:r>
      <w:r>
        <w:rPr>
          <w:lang w:val="nl-NL"/>
        </w:rPr>
        <w:t xml:space="preserve">risico’s op het gebied van mensenrechten, milieu en goed bestuur (ook wel ESG genoemd), werken financiële instellingen vaak samen met dataleveranciers die ESG-data over bedrijven beschikbaar stellen. ISS ESG is een van die dataleveranciers. </w:t>
      </w:r>
    </w:p>
  </w:footnote>
  <w:footnote w:id="7">
    <w:p w14:paraId="1BCAB342" w14:textId="1B1AF096" w:rsidR="00592635" w:rsidRPr="00A52278" w:rsidRDefault="00592635" w:rsidP="00592635">
      <w:pPr>
        <w:pStyle w:val="FootnoteText"/>
        <w:rPr>
          <w:lang w:val="nl-NL"/>
        </w:rPr>
      </w:pPr>
      <w:r>
        <w:rPr>
          <w:rStyle w:val="FootnoteReference"/>
        </w:rPr>
        <w:footnoteRef/>
      </w:r>
      <w:r w:rsidRPr="00A52278">
        <w:rPr>
          <w:lang w:val="nl-NL"/>
        </w:rPr>
        <w:t xml:space="preserve"> </w:t>
      </w:r>
      <w:r w:rsidR="005F6BA5">
        <w:rPr>
          <w:lang w:val="nl-NL"/>
        </w:rPr>
        <w:t xml:space="preserve">Volgens ABN AMRO is </w:t>
      </w:r>
      <w:r w:rsidR="005F6BA5" w:rsidRPr="00700EDE">
        <w:rPr>
          <w:lang w:val="nl-NL"/>
        </w:rPr>
        <w:t xml:space="preserve">er mogelijk een indirecte financieringsrelatie met </w:t>
      </w:r>
      <w:r w:rsidR="005F6BA5">
        <w:rPr>
          <w:lang w:val="nl-NL"/>
        </w:rPr>
        <w:t>Ivanhoe Mines en Zijin Mining Group</w:t>
      </w:r>
      <w:r w:rsidR="005F6BA5" w:rsidRPr="00700EDE">
        <w:rPr>
          <w:lang w:val="nl-NL"/>
        </w:rPr>
        <w:t xml:space="preserve"> via beleggingen van klanten die ABN AMRO heeft gefaciliteerd.</w:t>
      </w:r>
      <w:r w:rsidR="005F6BA5">
        <w:rPr>
          <w:lang w:val="nl-NL"/>
        </w:rPr>
        <w:t xml:space="preserve"> </w:t>
      </w:r>
      <w:r w:rsidRPr="00700EDE">
        <w:rPr>
          <w:lang w:val="nl-NL"/>
        </w:rPr>
        <w:t xml:space="preserve">ABN AMRO </w:t>
      </w:r>
      <w:r>
        <w:rPr>
          <w:lang w:val="nl-NL"/>
        </w:rPr>
        <w:t xml:space="preserve">geeft </w:t>
      </w:r>
      <w:r w:rsidR="009971FE">
        <w:rPr>
          <w:lang w:val="nl-NL"/>
        </w:rPr>
        <w:t>aan</w:t>
      </w:r>
      <w:r w:rsidRPr="00700EDE">
        <w:rPr>
          <w:lang w:val="nl-NL"/>
        </w:rPr>
        <w:t xml:space="preserve"> dat de</w:t>
      </w:r>
      <w:r>
        <w:rPr>
          <w:lang w:val="nl-NL"/>
        </w:rPr>
        <w:t xml:space="preserve"> mogelijke</w:t>
      </w:r>
      <w:r w:rsidRPr="00700EDE">
        <w:rPr>
          <w:lang w:val="nl-NL"/>
        </w:rPr>
        <w:t xml:space="preserve"> financieringsrelaties tussen de bank en </w:t>
      </w:r>
      <w:r>
        <w:rPr>
          <w:lang w:val="nl-NL"/>
        </w:rPr>
        <w:t>Ivanhoe Mines en Zijin Mining Group</w:t>
      </w:r>
      <w:r w:rsidRPr="00700EDE">
        <w:rPr>
          <w:lang w:val="nl-NL"/>
        </w:rPr>
        <w:t xml:space="preserve"> uit </w:t>
      </w:r>
      <w:r>
        <w:rPr>
          <w:lang w:val="nl-NL"/>
        </w:rPr>
        <w:t xml:space="preserve">respectievelijk </w:t>
      </w:r>
      <w:r w:rsidRPr="00700EDE">
        <w:rPr>
          <w:lang w:val="nl-NL"/>
        </w:rPr>
        <w:t>Canada en China niet passen binnen de strategiewijziging</w:t>
      </w:r>
      <w:r>
        <w:rPr>
          <w:lang w:val="nl-NL"/>
        </w:rPr>
        <w:t xml:space="preserve"> van de bank</w:t>
      </w:r>
      <w:r w:rsidR="00183495">
        <w:rPr>
          <w:lang w:val="nl-NL"/>
        </w:rPr>
        <w:t xml:space="preserve">. Deze strategiewijziging houdt in dat </w:t>
      </w:r>
      <w:r w:rsidRPr="00700EDE">
        <w:rPr>
          <w:lang w:val="nl-NL"/>
        </w:rPr>
        <w:t xml:space="preserve">activiteiten buiten Europa </w:t>
      </w:r>
      <w:r w:rsidR="00183495">
        <w:rPr>
          <w:lang w:val="nl-NL"/>
        </w:rPr>
        <w:t>worden afgebouwd</w:t>
      </w:r>
      <w:r w:rsidR="009971FE">
        <w:rPr>
          <w:lang w:val="nl-NL"/>
        </w:rPr>
        <w:t>. De strategiewijziging</w:t>
      </w:r>
      <w:r w:rsidR="00183495">
        <w:rPr>
          <w:lang w:val="nl-NL"/>
        </w:rPr>
        <w:t xml:space="preserve"> is </w:t>
      </w:r>
      <w:r>
        <w:rPr>
          <w:lang w:val="nl-NL"/>
        </w:rPr>
        <w:t>uitgevoerd vanaf</w:t>
      </w:r>
      <w:r w:rsidRPr="00700EDE">
        <w:rPr>
          <w:lang w:val="nl-NL"/>
        </w:rPr>
        <w:t xml:space="preserve"> augustus 2020</w:t>
      </w:r>
      <w:r>
        <w:rPr>
          <w:lang w:val="nl-NL"/>
        </w:rPr>
        <w:t>,</w:t>
      </w:r>
      <w:r w:rsidRPr="00700EDE">
        <w:rPr>
          <w:lang w:val="nl-NL"/>
        </w:rPr>
        <w:t xml:space="preserve"> wat betreft de grootzakelijke activiteiten van de bank (met uitzondering van de activiteiten van ABN AMRO Clearing). </w:t>
      </w:r>
      <w:r w:rsidRPr="004C5503">
        <w:rPr>
          <w:lang w:val="nl-NL"/>
        </w:rPr>
        <w:t>Het gevolg van die strategiewijziging is geweest dat ABN AMRO diens Corporate Banking-activiteiten buiten Europa en de Trade &amp; Commodities Finance-activiteiten wereldwijd volledig is gaan afbouwen</w:t>
      </w:r>
      <w:r w:rsidRPr="00700EDE">
        <w:rPr>
          <w:lang w:val="nl-NL"/>
        </w:rPr>
        <w:t>.</w:t>
      </w:r>
      <w:r>
        <w:rPr>
          <w:lang w:val="nl-NL"/>
        </w:rPr>
        <w:t xml:space="preserve"> </w:t>
      </w:r>
      <w:r w:rsidRPr="00700EDE">
        <w:rPr>
          <w:lang w:val="nl-NL"/>
        </w:rPr>
        <w:t xml:space="preserve">Volgens ABN AMRO was deze afbouw eind 2022 nagenoeg afgerond. ABN AMRO </w:t>
      </w:r>
      <w:r w:rsidR="00A8523F">
        <w:rPr>
          <w:lang w:val="nl-NL"/>
        </w:rPr>
        <w:t xml:space="preserve">geeft </w:t>
      </w:r>
      <w:r w:rsidR="001E6E05">
        <w:rPr>
          <w:lang w:val="nl-NL"/>
        </w:rPr>
        <w:t xml:space="preserve">verder </w:t>
      </w:r>
      <w:r w:rsidR="00A8523F">
        <w:rPr>
          <w:lang w:val="nl-NL"/>
        </w:rPr>
        <w:t xml:space="preserve">aan </w:t>
      </w:r>
      <w:r w:rsidRPr="00700EDE">
        <w:rPr>
          <w:lang w:val="nl-NL"/>
        </w:rPr>
        <w:t>aan dat</w:t>
      </w:r>
      <w:r w:rsidR="00A8523F">
        <w:rPr>
          <w:lang w:val="nl-NL"/>
        </w:rPr>
        <w:t xml:space="preserve"> mogelijk hun klanten wel maar zij</w:t>
      </w:r>
      <w:r w:rsidRPr="00700EDE">
        <w:rPr>
          <w:lang w:val="nl-NL"/>
        </w:rPr>
        <w:t xml:space="preserve"> zelf geen aandeelhouder zijn in Ivanhoe Mines en Zijin Mining Group</w:t>
      </w:r>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4A75" w14:textId="77777777" w:rsidR="00F45D03" w:rsidRDefault="00F4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7ED"/>
    <w:multiLevelType w:val="multilevel"/>
    <w:tmpl w:val="ECDEC57C"/>
    <w:lvl w:ilvl="0">
      <w:start w:val="1"/>
      <w:numFmt w:val="decimal"/>
      <w:pStyle w:val="EGWHeadingTables"/>
      <w:lvlText w:val="Table %1"/>
      <w:lvlJc w:val="left"/>
      <w:pPr>
        <w:tabs>
          <w:tab w:val="num" w:pos="1021"/>
        </w:tabs>
        <w:ind w:left="1021" w:hanging="1021"/>
      </w:pPr>
      <w:rPr>
        <w:rFonts w:ascii="Roboto" w:hAnsi="Roboto" w:hint="default"/>
        <w:b/>
        <w:bCs/>
        <w:i w:val="0"/>
        <w:iCs w:val="0"/>
        <w:color w:val="61013E"/>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1D26A74"/>
    <w:multiLevelType w:val="hybridMultilevel"/>
    <w:tmpl w:val="FE26C614"/>
    <w:lvl w:ilvl="0" w:tplc="8E3E4D26">
      <w:start w:val="1"/>
      <w:numFmt w:val="bullet"/>
      <w:pStyle w:val="EGWBulletList2"/>
      <w:lvlText w:val=""/>
      <w:lvlJc w:val="left"/>
      <w:pPr>
        <w:ind w:left="717" w:hanging="360"/>
      </w:pPr>
      <w:rPr>
        <w:rFonts w:ascii="Symbol" w:hAnsi="Symbol" w:hint="default"/>
        <w:b w:val="0"/>
        <w:i w:val="0"/>
        <w:color w:val="auto"/>
        <w:sz w:val="22"/>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 w15:restartNumberingAfterBreak="0">
    <w:nsid w:val="187B5D8E"/>
    <w:multiLevelType w:val="hybridMultilevel"/>
    <w:tmpl w:val="0E5AF0CC"/>
    <w:lvl w:ilvl="0" w:tplc="6404774C">
      <w:start w:val="1"/>
      <w:numFmt w:val="decimal"/>
      <w:pStyle w:val="EGWNumberedList1"/>
      <w:lvlText w:val="%1."/>
      <w:lvlJc w:val="left"/>
      <w:pPr>
        <w:ind w:left="360" w:hanging="360"/>
      </w:pPr>
      <w:rPr>
        <w:rFonts w:ascii="Roboto" w:hAnsi="Roboto" w:hint="default"/>
        <w:b w:val="0"/>
        <w:i w:val="0"/>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56076C"/>
    <w:multiLevelType w:val="multilevel"/>
    <w:tmpl w:val="B9CA0040"/>
    <w:lvl w:ilvl="0">
      <w:start w:val="1"/>
      <w:numFmt w:val="decimal"/>
      <w:lvlText w:val="%1"/>
      <w:lvlJc w:val="left"/>
      <w:pPr>
        <w:ind w:left="360" w:hanging="360"/>
      </w:pPr>
      <w:rPr>
        <w:rFonts w:ascii="Roboto" w:hAnsi="Roboto" w:cs="Times New Roman" w:hint="default"/>
        <w:sz w:val="22"/>
      </w:rPr>
    </w:lvl>
    <w:lvl w:ilvl="1">
      <w:start w:val="2"/>
      <w:numFmt w:val="decimal"/>
      <w:lvlText w:val="%1.%2"/>
      <w:lvlJc w:val="left"/>
      <w:pPr>
        <w:ind w:left="786" w:hanging="360"/>
      </w:pPr>
      <w:rPr>
        <w:rFonts w:ascii="Roboto" w:hAnsi="Roboto" w:cs="Times New Roman" w:hint="default"/>
        <w:sz w:val="22"/>
      </w:rPr>
    </w:lvl>
    <w:lvl w:ilvl="2">
      <w:start w:val="1"/>
      <w:numFmt w:val="decimal"/>
      <w:lvlText w:val="%1.%2.%3"/>
      <w:lvlJc w:val="left"/>
      <w:pPr>
        <w:ind w:left="1572" w:hanging="720"/>
      </w:pPr>
      <w:rPr>
        <w:rFonts w:ascii="Roboto" w:hAnsi="Roboto" w:cs="Times New Roman" w:hint="default"/>
        <w:sz w:val="22"/>
      </w:rPr>
    </w:lvl>
    <w:lvl w:ilvl="3">
      <w:start w:val="1"/>
      <w:numFmt w:val="decimal"/>
      <w:lvlText w:val="%1.%2.%3.%4"/>
      <w:lvlJc w:val="left"/>
      <w:pPr>
        <w:ind w:left="1998" w:hanging="720"/>
      </w:pPr>
      <w:rPr>
        <w:rFonts w:ascii="Roboto" w:hAnsi="Roboto" w:cs="Times New Roman" w:hint="default"/>
        <w:sz w:val="22"/>
      </w:rPr>
    </w:lvl>
    <w:lvl w:ilvl="4">
      <w:start w:val="1"/>
      <w:numFmt w:val="decimal"/>
      <w:lvlText w:val="%1.%2.%3.%4.%5"/>
      <w:lvlJc w:val="left"/>
      <w:pPr>
        <w:ind w:left="2784" w:hanging="1080"/>
      </w:pPr>
      <w:rPr>
        <w:rFonts w:ascii="Roboto" w:hAnsi="Roboto" w:cs="Times New Roman" w:hint="default"/>
        <w:sz w:val="22"/>
      </w:rPr>
    </w:lvl>
    <w:lvl w:ilvl="5">
      <w:start w:val="1"/>
      <w:numFmt w:val="decimal"/>
      <w:lvlText w:val="%1.%2.%3.%4.%5.%6"/>
      <w:lvlJc w:val="left"/>
      <w:pPr>
        <w:ind w:left="3210" w:hanging="1080"/>
      </w:pPr>
      <w:rPr>
        <w:rFonts w:ascii="Roboto" w:hAnsi="Roboto" w:cs="Times New Roman" w:hint="default"/>
        <w:sz w:val="22"/>
      </w:rPr>
    </w:lvl>
    <w:lvl w:ilvl="6">
      <w:start w:val="1"/>
      <w:numFmt w:val="decimal"/>
      <w:lvlText w:val="%1.%2.%3.%4.%5.%6.%7"/>
      <w:lvlJc w:val="left"/>
      <w:pPr>
        <w:ind w:left="3996" w:hanging="1440"/>
      </w:pPr>
      <w:rPr>
        <w:rFonts w:ascii="Roboto" w:hAnsi="Roboto" w:cs="Times New Roman" w:hint="default"/>
        <w:sz w:val="22"/>
      </w:rPr>
    </w:lvl>
    <w:lvl w:ilvl="7">
      <w:start w:val="1"/>
      <w:numFmt w:val="decimal"/>
      <w:lvlText w:val="%1.%2.%3.%4.%5.%6.%7.%8"/>
      <w:lvlJc w:val="left"/>
      <w:pPr>
        <w:ind w:left="4422" w:hanging="1440"/>
      </w:pPr>
      <w:rPr>
        <w:rFonts w:ascii="Roboto" w:hAnsi="Roboto" w:cs="Times New Roman" w:hint="default"/>
        <w:sz w:val="22"/>
      </w:rPr>
    </w:lvl>
    <w:lvl w:ilvl="8">
      <w:start w:val="1"/>
      <w:numFmt w:val="decimal"/>
      <w:lvlText w:val="%1.%2.%3.%4.%5.%6.%7.%8.%9"/>
      <w:lvlJc w:val="left"/>
      <w:pPr>
        <w:ind w:left="5208" w:hanging="1800"/>
      </w:pPr>
      <w:rPr>
        <w:rFonts w:ascii="Roboto" w:hAnsi="Roboto" w:cs="Times New Roman" w:hint="default"/>
        <w:sz w:val="22"/>
      </w:rPr>
    </w:lvl>
  </w:abstractNum>
  <w:abstractNum w:abstractNumId="4" w15:restartNumberingAfterBreak="0">
    <w:nsid w:val="2F661449"/>
    <w:multiLevelType w:val="hybridMultilevel"/>
    <w:tmpl w:val="18E8D5AA"/>
    <w:lvl w:ilvl="0" w:tplc="B65C8D52">
      <w:start w:val="1"/>
      <w:numFmt w:val="decimal"/>
      <w:pStyle w:val="TOC1"/>
      <w:lvlText w:val="Chapter %1"/>
      <w:lvlJc w:val="left"/>
      <w:pPr>
        <w:ind w:left="360" w:hanging="360"/>
      </w:pPr>
      <w:rPr>
        <w:rFonts w:ascii="Roboto" w:hAnsi="Roboto"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29F4C55"/>
    <w:multiLevelType w:val="multilevel"/>
    <w:tmpl w:val="11AC3992"/>
    <w:lvl w:ilvl="0">
      <w:start w:val="1"/>
      <w:numFmt w:val="decimal"/>
      <w:pStyle w:val="EGWHeadingAppendix"/>
      <w:lvlText w:val="Appendix %1"/>
      <w:lvlJc w:val="left"/>
      <w:pPr>
        <w:ind w:left="360" w:hanging="360"/>
      </w:pPr>
      <w:rPr>
        <w:rFonts w:ascii="Roboto" w:hAnsi="Roboto" w:hint="default"/>
        <w:b/>
        <w:i w:val="0"/>
        <w:color w:val="61013E"/>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8D0353F"/>
    <w:multiLevelType w:val="hybridMultilevel"/>
    <w:tmpl w:val="695C7220"/>
    <w:lvl w:ilvl="0" w:tplc="790AFE54">
      <w:start w:val="1"/>
      <w:numFmt w:val="decimal"/>
      <w:pStyle w:val="EGWNumberedList3"/>
      <w:lvlText w:val="%1."/>
      <w:lvlJc w:val="left"/>
      <w:pPr>
        <w:ind w:left="1080" w:hanging="360"/>
      </w:pPr>
      <w:rPr>
        <w:rFonts w:ascii="Roboto" w:hAnsi="Roboto" w:hint="default"/>
        <w:b w:val="0"/>
        <w:i w:val="0"/>
        <w:color w:val="auto"/>
        <w:sz w:val="22"/>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25C7D6D"/>
    <w:multiLevelType w:val="hybridMultilevel"/>
    <w:tmpl w:val="F392E690"/>
    <w:lvl w:ilvl="0" w:tplc="586A2C12">
      <w:start w:val="1"/>
      <w:numFmt w:val="decimal"/>
      <w:pStyle w:val="EGWNumberedList2"/>
      <w:lvlText w:val="%1."/>
      <w:lvlJc w:val="left"/>
      <w:pPr>
        <w:ind w:left="717" w:hanging="360"/>
      </w:pPr>
      <w:rPr>
        <w:rFonts w:ascii="Roboto" w:hAnsi="Roboto" w:hint="default"/>
        <w:b w:val="0"/>
        <w:i w:val="0"/>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B00EC5"/>
    <w:multiLevelType w:val="hybridMultilevel"/>
    <w:tmpl w:val="FE8E2386"/>
    <w:lvl w:ilvl="0" w:tplc="311ECFC2">
      <w:start w:val="1"/>
      <w:numFmt w:val="bullet"/>
      <w:pStyle w:val="EGWBulletList1"/>
      <w:lvlText w:val=""/>
      <w:lvlJc w:val="left"/>
      <w:pPr>
        <w:ind w:left="360" w:hanging="360"/>
      </w:pPr>
      <w:rPr>
        <w:rFonts w:ascii="Symbol" w:hAnsi="Symbol" w:hint="default"/>
        <w:b w:val="0"/>
        <w:i w:val="0"/>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6E13AA"/>
    <w:multiLevelType w:val="hybridMultilevel"/>
    <w:tmpl w:val="58DC6018"/>
    <w:lvl w:ilvl="0" w:tplc="A404D7CC">
      <w:start w:val="1"/>
      <w:numFmt w:val="bullet"/>
      <w:pStyle w:val="Index1"/>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E0247A"/>
    <w:multiLevelType w:val="hybridMultilevel"/>
    <w:tmpl w:val="BFA6FD7A"/>
    <w:lvl w:ilvl="0" w:tplc="9CAAD534">
      <w:start w:val="1"/>
      <w:numFmt w:val="decimal"/>
      <w:pStyle w:val="EGWHeadingTableDutch"/>
      <w:lvlText w:val="Tabel %1"/>
      <w:lvlJc w:val="left"/>
      <w:pPr>
        <w:ind w:left="720" w:hanging="360"/>
      </w:pPr>
      <w:rPr>
        <w:rFonts w:ascii="Roboto" w:hAnsi="Roboto"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82A44C6"/>
    <w:multiLevelType w:val="hybridMultilevel"/>
    <w:tmpl w:val="565EAE8E"/>
    <w:lvl w:ilvl="0" w:tplc="88A0DC3A">
      <w:start w:val="1"/>
      <w:numFmt w:val="decimal"/>
      <w:pStyle w:val="EGWNumberedList4"/>
      <w:lvlText w:val="%1."/>
      <w:lvlJc w:val="left"/>
      <w:pPr>
        <w:ind w:left="1437" w:hanging="360"/>
      </w:pPr>
      <w:rPr>
        <w:rFonts w:ascii="Roboto" w:hAnsi="Roboto" w:hint="default"/>
        <w:b w:val="0"/>
        <w:i w:val="0"/>
        <w:color w:val="auto"/>
        <w:sz w:val="22"/>
      </w:rPr>
    </w:lvl>
    <w:lvl w:ilvl="1" w:tplc="04130019" w:tentative="1">
      <w:start w:val="1"/>
      <w:numFmt w:val="lowerLetter"/>
      <w:lvlText w:val="%2."/>
      <w:lvlJc w:val="left"/>
      <w:pPr>
        <w:ind w:left="2517" w:hanging="360"/>
      </w:pPr>
    </w:lvl>
    <w:lvl w:ilvl="2" w:tplc="0413001B" w:tentative="1">
      <w:start w:val="1"/>
      <w:numFmt w:val="lowerRoman"/>
      <w:lvlText w:val="%3."/>
      <w:lvlJc w:val="right"/>
      <w:pPr>
        <w:ind w:left="3237" w:hanging="180"/>
      </w:pPr>
    </w:lvl>
    <w:lvl w:ilvl="3" w:tplc="0413000F" w:tentative="1">
      <w:start w:val="1"/>
      <w:numFmt w:val="decimal"/>
      <w:lvlText w:val="%4."/>
      <w:lvlJc w:val="left"/>
      <w:pPr>
        <w:ind w:left="3957" w:hanging="360"/>
      </w:pPr>
    </w:lvl>
    <w:lvl w:ilvl="4" w:tplc="04130019" w:tentative="1">
      <w:start w:val="1"/>
      <w:numFmt w:val="lowerLetter"/>
      <w:lvlText w:val="%5."/>
      <w:lvlJc w:val="left"/>
      <w:pPr>
        <w:ind w:left="4677" w:hanging="360"/>
      </w:pPr>
    </w:lvl>
    <w:lvl w:ilvl="5" w:tplc="0413001B" w:tentative="1">
      <w:start w:val="1"/>
      <w:numFmt w:val="lowerRoman"/>
      <w:lvlText w:val="%6."/>
      <w:lvlJc w:val="right"/>
      <w:pPr>
        <w:ind w:left="5397" w:hanging="180"/>
      </w:pPr>
    </w:lvl>
    <w:lvl w:ilvl="6" w:tplc="0413000F" w:tentative="1">
      <w:start w:val="1"/>
      <w:numFmt w:val="decimal"/>
      <w:lvlText w:val="%7."/>
      <w:lvlJc w:val="left"/>
      <w:pPr>
        <w:ind w:left="6117" w:hanging="360"/>
      </w:pPr>
    </w:lvl>
    <w:lvl w:ilvl="7" w:tplc="04130019" w:tentative="1">
      <w:start w:val="1"/>
      <w:numFmt w:val="lowerLetter"/>
      <w:lvlText w:val="%8."/>
      <w:lvlJc w:val="left"/>
      <w:pPr>
        <w:ind w:left="6837" w:hanging="360"/>
      </w:pPr>
    </w:lvl>
    <w:lvl w:ilvl="8" w:tplc="0413001B" w:tentative="1">
      <w:start w:val="1"/>
      <w:numFmt w:val="lowerRoman"/>
      <w:lvlText w:val="%9."/>
      <w:lvlJc w:val="right"/>
      <w:pPr>
        <w:ind w:left="7557" w:hanging="180"/>
      </w:pPr>
    </w:lvl>
  </w:abstractNum>
  <w:abstractNum w:abstractNumId="12" w15:restartNumberingAfterBreak="0">
    <w:nsid w:val="49A46070"/>
    <w:multiLevelType w:val="multilevel"/>
    <w:tmpl w:val="B9CA0040"/>
    <w:lvl w:ilvl="0">
      <w:start w:val="1"/>
      <w:numFmt w:val="decimal"/>
      <w:lvlText w:val="%1"/>
      <w:lvlJc w:val="left"/>
      <w:pPr>
        <w:ind w:left="360" w:hanging="360"/>
      </w:pPr>
      <w:rPr>
        <w:rFonts w:ascii="Roboto" w:hAnsi="Roboto" w:cs="Times New Roman" w:hint="default"/>
        <w:sz w:val="22"/>
      </w:rPr>
    </w:lvl>
    <w:lvl w:ilvl="1">
      <w:start w:val="2"/>
      <w:numFmt w:val="decimal"/>
      <w:lvlText w:val="%1.%2"/>
      <w:lvlJc w:val="left"/>
      <w:pPr>
        <w:ind w:left="786" w:hanging="360"/>
      </w:pPr>
      <w:rPr>
        <w:rFonts w:ascii="Roboto" w:hAnsi="Roboto" w:cs="Times New Roman" w:hint="default"/>
        <w:sz w:val="22"/>
      </w:rPr>
    </w:lvl>
    <w:lvl w:ilvl="2">
      <w:start w:val="1"/>
      <w:numFmt w:val="decimal"/>
      <w:lvlText w:val="%1.%2.%3"/>
      <w:lvlJc w:val="left"/>
      <w:pPr>
        <w:ind w:left="1572" w:hanging="720"/>
      </w:pPr>
      <w:rPr>
        <w:rFonts w:ascii="Roboto" w:hAnsi="Roboto" w:cs="Times New Roman" w:hint="default"/>
        <w:sz w:val="22"/>
      </w:rPr>
    </w:lvl>
    <w:lvl w:ilvl="3">
      <w:start w:val="1"/>
      <w:numFmt w:val="decimal"/>
      <w:lvlText w:val="%1.%2.%3.%4"/>
      <w:lvlJc w:val="left"/>
      <w:pPr>
        <w:ind w:left="1998" w:hanging="720"/>
      </w:pPr>
      <w:rPr>
        <w:rFonts w:ascii="Roboto" w:hAnsi="Roboto" w:cs="Times New Roman" w:hint="default"/>
        <w:sz w:val="22"/>
      </w:rPr>
    </w:lvl>
    <w:lvl w:ilvl="4">
      <w:start w:val="1"/>
      <w:numFmt w:val="decimal"/>
      <w:lvlText w:val="%1.%2.%3.%4.%5"/>
      <w:lvlJc w:val="left"/>
      <w:pPr>
        <w:ind w:left="2784" w:hanging="1080"/>
      </w:pPr>
      <w:rPr>
        <w:rFonts w:ascii="Roboto" w:hAnsi="Roboto" w:cs="Times New Roman" w:hint="default"/>
        <w:sz w:val="22"/>
      </w:rPr>
    </w:lvl>
    <w:lvl w:ilvl="5">
      <w:start w:val="1"/>
      <w:numFmt w:val="decimal"/>
      <w:lvlText w:val="%1.%2.%3.%4.%5.%6"/>
      <w:lvlJc w:val="left"/>
      <w:pPr>
        <w:ind w:left="3210" w:hanging="1080"/>
      </w:pPr>
      <w:rPr>
        <w:rFonts w:ascii="Roboto" w:hAnsi="Roboto" w:cs="Times New Roman" w:hint="default"/>
        <w:sz w:val="22"/>
      </w:rPr>
    </w:lvl>
    <w:lvl w:ilvl="6">
      <w:start w:val="1"/>
      <w:numFmt w:val="decimal"/>
      <w:lvlText w:val="%1.%2.%3.%4.%5.%6.%7"/>
      <w:lvlJc w:val="left"/>
      <w:pPr>
        <w:ind w:left="3996" w:hanging="1440"/>
      </w:pPr>
      <w:rPr>
        <w:rFonts w:ascii="Roboto" w:hAnsi="Roboto" w:cs="Times New Roman" w:hint="default"/>
        <w:sz w:val="22"/>
      </w:rPr>
    </w:lvl>
    <w:lvl w:ilvl="7">
      <w:start w:val="1"/>
      <w:numFmt w:val="decimal"/>
      <w:lvlText w:val="%1.%2.%3.%4.%5.%6.%7.%8"/>
      <w:lvlJc w:val="left"/>
      <w:pPr>
        <w:ind w:left="4422" w:hanging="1440"/>
      </w:pPr>
      <w:rPr>
        <w:rFonts w:ascii="Roboto" w:hAnsi="Roboto" w:cs="Times New Roman" w:hint="default"/>
        <w:sz w:val="22"/>
      </w:rPr>
    </w:lvl>
    <w:lvl w:ilvl="8">
      <w:start w:val="1"/>
      <w:numFmt w:val="decimal"/>
      <w:lvlText w:val="%1.%2.%3.%4.%5.%6.%7.%8.%9"/>
      <w:lvlJc w:val="left"/>
      <w:pPr>
        <w:ind w:left="5208" w:hanging="1800"/>
      </w:pPr>
      <w:rPr>
        <w:rFonts w:ascii="Roboto" w:hAnsi="Roboto" w:cs="Times New Roman" w:hint="default"/>
        <w:sz w:val="22"/>
      </w:rPr>
    </w:lvl>
  </w:abstractNum>
  <w:abstractNum w:abstractNumId="13" w15:restartNumberingAfterBreak="0">
    <w:nsid w:val="4A850672"/>
    <w:multiLevelType w:val="multilevel"/>
    <w:tmpl w:val="B9CA0040"/>
    <w:lvl w:ilvl="0">
      <w:start w:val="1"/>
      <w:numFmt w:val="decimal"/>
      <w:lvlText w:val="%1"/>
      <w:lvlJc w:val="left"/>
      <w:pPr>
        <w:ind w:left="360" w:hanging="360"/>
      </w:pPr>
      <w:rPr>
        <w:rFonts w:ascii="Roboto" w:hAnsi="Roboto" w:cs="Times New Roman" w:hint="default"/>
        <w:sz w:val="22"/>
      </w:rPr>
    </w:lvl>
    <w:lvl w:ilvl="1">
      <w:start w:val="2"/>
      <w:numFmt w:val="decimal"/>
      <w:lvlText w:val="%1.%2"/>
      <w:lvlJc w:val="left"/>
      <w:pPr>
        <w:ind w:left="786" w:hanging="360"/>
      </w:pPr>
      <w:rPr>
        <w:rFonts w:ascii="Roboto" w:hAnsi="Roboto" w:cs="Times New Roman" w:hint="default"/>
        <w:sz w:val="22"/>
      </w:rPr>
    </w:lvl>
    <w:lvl w:ilvl="2">
      <w:start w:val="1"/>
      <w:numFmt w:val="decimal"/>
      <w:lvlText w:val="%1.%2.%3"/>
      <w:lvlJc w:val="left"/>
      <w:pPr>
        <w:ind w:left="1572" w:hanging="720"/>
      </w:pPr>
      <w:rPr>
        <w:rFonts w:ascii="Roboto" w:hAnsi="Roboto" w:cs="Times New Roman" w:hint="default"/>
        <w:sz w:val="22"/>
      </w:rPr>
    </w:lvl>
    <w:lvl w:ilvl="3">
      <w:start w:val="1"/>
      <w:numFmt w:val="decimal"/>
      <w:lvlText w:val="%1.%2.%3.%4"/>
      <w:lvlJc w:val="left"/>
      <w:pPr>
        <w:ind w:left="1998" w:hanging="720"/>
      </w:pPr>
      <w:rPr>
        <w:rFonts w:ascii="Roboto" w:hAnsi="Roboto" w:cs="Times New Roman" w:hint="default"/>
        <w:sz w:val="22"/>
      </w:rPr>
    </w:lvl>
    <w:lvl w:ilvl="4">
      <w:start w:val="1"/>
      <w:numFmt w:val="decimal"/>
      <w:lvlText w:val="%1.%2.%3.%4.%5"/>
      <w:lvlJc w:val="left"/>
      <w:pPr>
        <w:ind w:left="2784" w:hanging="1080"/>
      </w:pPr>
      <w:rPr>
        <w:rFonts w:ascii="Roboto" w:hAnsi="Roboto" w:cs="Times New Roman" w:hint="default"/>
        <w:sz w:val="22"/>
      </w:rPr>
    </w:lvl>
    <w:lvl w:ilvl="5">
      <w:start w:val="1"/>
      <w:numFmt w:val="decimal"/>
      <w:lvlText w:val="%1.%2.%3.%4.%5.%6"/>
      <w:lvlJc w:val="left"/>
      <w:pPr>
        <w:ind w:left="3210" w:hanging="1080"/>
      </w:pPr>
      <w:rPr>
        <w:rFonts w:ascii="Roboto" w:hAnsi="Roboto" w:cs="Times New Roman" w:hint="default"/>
        <w:sz w:val="22"/>
      </w:rPr>
    </w:lvl>
    <w:lvl w:ilvl="6">
      <w:start w:val="1"/>
      <w:numFmt w:val="decimal"/>
      <w:lvlText w:val="%1.%2.%3.%4.%5.%6.%7"/>
      <w:lvlJc w:val="left"/>
      <w:pPr>
        <w:ind w:left="3996" w:hanging="1440"/>
      </w:pPr>
      <w:rPr>
        <w:rFonts w:ascii="Roboto" w:hAnsi="Roboto" w:cs="Times New Roman" w:hint="default"/>
        <w:sz w:val="22"/>
      </w:rPr>
    </w:lvl>
    <w:lvl w:ilvl="7">
      <w:start w:val="1"/>
      <w:numFmt w:val="decimal"/>
      <w:lvlText w:val="%1.%2.%3.%4.%5.%6.%7.%8"/>
      <w:lvlJc w:val="left"/>
      <w:pPr>
        <w:ind w:left="4422" w:hanging="1440"/>
      </w:pPr>
      <w:rPr>
        <w:rFonts w:ascii="Roboto" w:hAnsi="Roboto" w:cs="Times New Roman" w:hint="default"/>
        <w:sz w:val="22"/>
      </w:rPr>
    </w:lvl>
    <w:lvl w:ilvl="8">
      <w:start w:val="1"/>
      <w:numFmt w:val="decimal"/>
      <w:lvlText w:val="%1.%2.%3.%4.%5.%6.%7.%8.%9"/>
      <w:lvlJc w:val="left"/>
      <w:pPr>
        <w:ind w:left="5208" w:hanging="1800"/>
      </w:pPr>
      <w:rPr>
        <w:rFonts w:ascii="Roboto" w:hAnsi="Roboto" w:cs="Times New Roman" w:hint="default"/>
        <w:sz w:val="22"/>
      </w:rPr>
    </w:lvl>
  </w:abstractNum>
  <w:abstractNum w:abstractNumId="14" w15:restartNumberingAfterBreak="0">
    <w:nsid w:val="4D840043"/>
    <w:multiLevelType w:val="hybridMultilevel"/>
    <w:tmpl w:val="4EA21486"/>
    <w:lvl w:ilvl="0" w:tplc="51BC22D2">
      <w:start w:val="1"/>
      <w:numFmt w:val="bullet"/>
      <w:pStyle w:val="EGWTableBodytextBulletPoint"/>
      <w:lvlText w:val=""/>
      <w:lvlJc w:val="left"/>
      <w:pPr>
        <w:ind w:left="306" w:hanging="360"/>
      </w:pPr>
      <w:rPr>
        <w:rFonts w:ascii="Symbol" w:hAnsi="Symbol"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B3350"/>
    <w:multiLevelType w:val="multilevel"/>
    <w:tmpl w:val="9A5057FE"/>
    <w:lvl w:ilvl="0">
      <w:start w:val="1"/>
      <w:numFmt w:val="decimal"/>
      <w:pStyle w:val="EGWHeading1Chapternumber"/>
      <w:suff w:val="nothing"/>
      <w:lvlText w:val="%1"/>
      <w:lvlJc w:val="left"/>
      <w:pPr>
        <w:ind w:left="0" w:firstLine="0"/>
      </w:pPr>
      <w:rPr>
        <w:rFonts w:ascii="Roboto" w:hAnsi="Roboto" w:hint="default"/>
        <w:b/>
        <w:i w:val="0"/>
        <w:color w:val="61013E"/>
        <w:sz w:val="144"/>
      </w:rPr>
    </w:lvl>
    <w:lvl w:ilvl="1">
      <w:start w:val="1"/>
      <w:numFmt w:val="decimal"/>
      <w:pStyle w:val="EGWHeading2"/>
      <w:lvlText w:val="%1.%2"/>
      <w:lvlJc w:val="left"/>
      <w:pPr>
        <w:tabs>
          <w:tab w:val="num" w:pos="714"/>
        </w:tabs>
        <w:ind w:left="714" w:hanging="714"/>
      </w:pPr>
      <w:rPr>
        <w:rFonts w:hint="default"/>
        <w:color w:val="61013E"/>
      </w:rPr>
    </w:lvl>
    <w:lvl w:ilvl="2">
      <w:start w:val="1"/>
      <w:numFmt w:val="decimal"/>
      <w:pStyle w:val="EGWHeading3"/>
      <w:lvlText w:val="%1.%2.%3"/>
      <w:lvlJc w:val="left"/>
      <w:pPr>
        <w:tabs>
          <w:tab w:val="num" w:pos="714"/>
        </w:tabs>
        <w:ind w:left="714" w:hanging="714"/>
      </w:pPr>
      <w:rPr>
        <w:rFonts w:hint="default"/>
        <w:color w:val="61013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9D1F79"/>
    <w:multiLevelType w:val="multilevel"/>
    <w:tmpl w:val="C59A25F6"/>
    <w:lvl w:ilvl="0">
      <w:start w:val="1"/>
      <w:numFmt w:val="decimal"/>
      <w:pStyle w:val="Heading1"/>
      <w:lvlText w:val="Chapter %1"/>
      <w:lvlJc w:val="left"/>
      <w:pPr>
        <w:ind w:left="360" w:hanging="360"/>
      </w:pPr>
      <w:rPr>
        <w:rFonts w:ascii="Microsoft New Tai Lue" w:hAnsi="Microsoft New Tai Lue" w:hint="default"/>
        <w:b/>
        <w:i w:val="0"/>
        <w:sz w:val="24"/>
        <w:szCs w:val="24"/>
      </w:rPr>
    </w:lvl>
    <w:lvl w:ilvl="1">
      <w:start w:val="1"/>
      <w:numFmt w:val="decimal"/>
      <w:pStyle w:val="Heading2"/>
      <w:lvlText w:val="%1.%2"/>
      <w:lvlJc w:val="left"/>
      <w:pPr>
        <w:tabs>
          <w:tab w:val="num" w:pos="851"/>
        </w:tabs>
        <w:ind w:left="851" w:hanging="851"/>
      </w:pPr>
      <w:rPr>
        <w:rFonts w:ascii="Microsoft New Tai Lue" w:hAnsi="Microsoft New Tai Lue" w:hint="default"/>
        <w:b/>
        <w:i w:val="0"/>
        <w:sz w:val="24"/>
        <w:szCs w:val="24"/>
      </w:rPr>
    </w:lvl>
    <w:lvl w:ilvl="2">
      <w:start w:val="1"/>
      <w:numFmt w:val="decimal"/>
      <w:pStyle w:val="Heading3"/>
      <w:lvlText w:val="%1.%2.%3"/>
      <w:lvlJc w:val="left"/>
      <w:pPr>
        <w:tabs>
          <w:tab w:val="num" w:pos="851"/>
        </w:tabs>
        <w:ind w:left="851" w:hanging="851"/>
      </w:pPr>
      <w:rPr>
        <w:rFonts w:ascii="Microsoft New Tai Lue" w:hAnsi="Microsoft New Tai Lue" w:hint="default"/>
        <w:b/>
        <w:i w:val="0"/>
        <w:sz w:val="22"/>
        <w:szCs w:val="22"/>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7" w15:restartNumberingAfterBreak="0">
    <w:nsid w:val="5ABF1294"/>
    <w:multiLevelType w:val="hybridMultilevel"/>
    <w:tmpl w:val="11E0332E"/>
    <w:lvl w:ilvl="0" w:tplc="F656E0AA">
      <w:start w:val="1"/>
      <w:numFmt w:val="decimal"/>
      <w:pStyle w:val="EGWHeadingFigure"/>
      <w:lvlText w:val="Figure %1"/>
      <w:lvlJc w:val="left"/>
      <w:pPr>
        <w:tabs>
          <w:tab w:val="num" w:pos="0"/>
        </w:tabs>
      </w:pPr>
      <w:rPr>
        <w:rFonts w:ascii="Roboto" w:hAnsi="Roboto" w:cs="Times New Roman" w:hint="default"/>
        <w:b/>
        <w:bCs/>
        <w:i w:val="0"/>
        <w:iCs w:val="0"/>
        <w:sz w:val="22"/>
        <w:szCs w:val="22"/>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8" w15:restartNumberingAfterBreak="0">
    <w:nsid w:val="754238CA"/>
    <w:multiLevelType w:val="hybridMultilevel"/>
    <w:tmpl w:val="1A965354"/>
    <w:lvl w:ilvl="0" w:tplc="11AA0DDC">
      <w:start w:val="1"/>
      <w:numFmt w:val="bullet"/>
      <w:pStyle w:val="EGWBulletList3"/>
      <w:lvlText w:val=""/>
      <w:lvlJc w:val="left"/>
      <w:pPr>
        <w:ind w:left="1080" w:hanging="360"/>
      </w:pPr>
      <w:rPr>
        <w:rFonts w:ascii="Symbol" w:hAnsi="Symbol" w:hint="default"/>
        <w:b w:val="0"/>
        <w:i w:val="0"/>
        <w:color w:val="auto"/>
        <w:sz w:val="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A404039"/>
    <w:multiLevelType w:val="hybridMultilevel"/>
    <w:tmpl w:val="3BA69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C13A5"/>
    <w:multiLevelType w:val="hybridMultilevel"/>
    <w:tmpl w:val="3402BB74"/>
    <w:lvl w:ilvl="0" w:tplc="00808112">
      <w:start w:val="1"/>
      <w:numFmt w:val="bullet"/>
      <w:pStyle w:val="EGWBulletList1bold"/>
      <w:lvlText w:val=""/>
      <w:lvlJc w:val="left"/>
      <w:pPr>
        <w:ind w:left="360" w:hanging="360"/>
      </w:pPr>
      <w:rPr>
        <w:rFonts w:ascii="Symbol" w:hAnsi="Symbol" w:hint="default"/>
        <w:b w:val="0"/>
        <w:i w:val="0"/>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3758522">
    <w:abstractNumId w:val="9"/>
  </w:num>
  <w:num w:numId="2" w16cid:durableId="2043246088">
    <w:abstractNumId w:val="16"/>
  </w:num>
  <w:num w:numId="3" w16cid:durableId="521088435">
    <w:abstractNumId w:val="8"/>
  </w:num>
  <w:num w:numId="4" w16cid:durableId="773093393">
    <w:abstractNumId w:val="20"/>
  </w:num>
  <w:num w:numId="5" w16cid:durableId="1857501659">
    <w:abstractNumId w:val="1"/>
  </w:num>
  <w:num w:numId="6" w16cid:durableId="180046293">
    <w:abstractNumId w:val="18"/>
  </w:num>
  <w:num w:numId="7" w16cid:durableId="1381203656">
    <w:abstractNumId w:val="15"/>
  </w:num>
  <w:num w:numId="8" w16cid:durableId="756512801">
    <w:abstractNumId w:val="17"/>
  </w:num>
  <w:num w:numId="9" w16cid:durableId="199980351">
    <w:abstractNumId w:val="0"/>
  </w:num>
  <w:num w:numId="10" w16cid:durableId="44257707">
    <w:abstractNumId w:val="2"/>
  </w:num>
  <w:num w:numId="11" w16cid:durableId="1647856103">
    <w:abstractNumId w:val="7"/>
  </w:num>
  <w:num w:numId="12" w16cid:durableId="2076269570">
    <w:abstractNumId w:val="6"/>
  </w:num>
  <w:num w:numId="13" w16cid:durableId="779379549">
    <w:abstractNumId w:val="11"/>
  </w:num>
  <w:num w:numId="14" w16cid:durableId="865287994">
    <w:abstractNumId w:val="5"/>
  </w:num>
  <w:num w:numId="15" w16cid:durableId="1620183308">
    <w:abstractNumId w:val="4"/>
  </w:num>
  <w:num w:numId="16" w16cid:durableId="1016661878">
    <w:abstractNumId w:val="14"/>
  </w:num>
  <w:num w:numId="17" w16cid:durableId="817696450">
    <w:abstractNumId w:val="10"/>
  </w:num>
  <w:num w:numId="18" w16cid:durableId="28605040">
    <w:abstractNumId w:val="3"/>
  </w:num>
  <w:num w:numId="19" w16cid:durableId="896085104">
    <w:abstractNumId w:val="19"/>
  </w:num>
  <w:num w:numId="20" w16cid:durableId="37514269">
    <w:abstractNumId w:val="12"/>
  </w:num>
  <w:num w:numId="21" w16cid:durableId="199788256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fr-CA" w:vendorID="64" w:dllVersion="0" w:nlCheck="1" w:checkStyle="0"/>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efaultTabStop w:val="720"/>
  <w:hyphenationZone w:val="731"/>
  <w:doNotHyphenateCaps/>
  <w:drawingGridHorizontalSpacing w:val="65"/>
  <w:drawingGridVerticalSpacing w:val="44"/>
  <w:displayHorizontalDrawingGridEvery w:val="0"/>
  <w:displayVerticalDrawingGridEvery w:val="2"/>
  <w:doNotShadeFormData/>
  <w:characterSpacingControl w:val="compressPunctuation"/>
  <w:hdrShapeDefaults>
    <o:shapedefaults v:ext="edit" spidmax="2050"/>
  </w:hdrShapeDefaults>
  <w:footnotePr>
    <w:numFmt w:val="lowerRoman"/>
    <w:footnote w:id="-1"/>
    <w:footnote w:id="0"/>
    <w:footnote w:id="1"/>
  </w:footnotePr>
  <w:endnotePr>
    <w:pos w:val="sectEnd"/>
    <w:numFmt w:val="decimal"/>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jQ0NzO3tDQ3MDNV0lEKTi0uzszPAykwqgUAljUIGSwAAAA="/>
  </w:docVars>
  <w:rsids>
    <w:rsidRoot w:val="0070061F"/>
    <w:rsid w:val="00000CA7"/>
    <w:rsid w:val="00002DB2"/>
    <w:rsid w:val="0000368C"/>
    <w:rsid w:val="00003AA6"/>
    <w:rsid w:val="00004FF5"/>
    <w:rsid w:val="000060A6"/>
    <w:rsid w:val="00007A39"/>
    <w:rsid w:val="0001073C"/>
    <w:rsid w:val="00012BB0"/>
    <w:rsid w:val="000141D0"/>
    <w:rsid w:val="00014D21"/>
    <w:rsid w:val="00016035"/>
    <w:rsid w:val="00016A39"/>
    <w:rsid w:val="000175C8"/>
    <w:rsid w:val="000206C5"/>
    <w:rsid w:val="00021D3D"/>
    <w:rsid w:val="00022055"/>
    <w:rsid w:val="000233AF"/>
    <w:rsid w:val="00023D7D"/>
    <w:rsid w:val="00025DA6"/>
    <w:rsid w:val="00027712"/>
    <w:rsid w:val="000300FA"/>
    <w:rsid w:val="000310D6"/>
    <w:rsid w:val="00031C16"/>
    <w:rsid w:val="00033C80"/>
    <w:rsid w:val="00033F2F"/>
    <w:rsid w:val="0003515A"/>
    <w:rsid w:val="00035344"/>
    <w:rsid w:val="000355BC"/>
    <w:rsid w:val="000358D1"/>
    <w:rsid w:val="000375AB"/>
    <w:rsid w:val="00037EB5"/>
    <w:rsid w:val="0004160C"/>
    <w:rsid w:val="00041809"/>
    <w:rsid w:val="000425E2"/>
    <w:rsid w:val="00044953"/>
    <w:rsid w:val="00044C2D"/>
    <w:rsid w:val="00044CA1"/>
    <w:rsid w:val="00044D52"/>
    <w:rsid w:val="00046807"/>
    <w:rsid w:val="00047A50"/>
    <w:rsid w:val="00047FA0"/>
    <w:rsid w:val="00051B9C"/>
    <w:rsid w:val="000539E8"/>
    <w:rsid w:val="0005466A"/>
    <w:rsid w:val="00056594"/>
    <w:rsid w:val="00062DBE"/>
    <w:rsid w:val="000635EF"/>
    <w:rsid w:val="00065B3B"/>
    <w:rsid w:val="00065B75"/>
    <w:rsid w:val="00070D5B"/>
    <w:rsid w:val="000719C0"/>
    <w:rsid w:val="000723F5"/>
    <w:rsid w:val="00073BEC"/>
    <w:rsid w:val="000751DE"/>
    <w:rsid w:val="000752E6"/>
    <w:rsid w:val="000753D9"/>
    <w:rsid w:val="00076207"/>
    <w:rsid w:val="00077252"/>
    <w:rsid w:val="000803FD"/>
    <w:rsid w:val="00080789"/>
    <w:rsid w:val="0008150C"/>
    <w:rsid w:val="000818E2"/>
    <w:rsid w:val="00082D12"/>
    <w:rsid w:val="0008304D"/>
    <w:rsid w:val="00083E3A"/>
    <w:rsid w:val="000915A2"/>
    <w:rsid w:val="00093228"/>
    <w:rsid w:val="00093D1A"/>
    <w:rsid w:val="00093D76"/>
    <w:rsid w:val="00094696"/>
    <w:rsid w:val="000964E1"/>
    <w:rsid w:val="000975B8"/>
    <w:rsid w:val="000976A0"/>
    <w:rsid w:val="00097802"/>
    <w:rsid w:val="000A1976"/>
    <w:rsid w:val="000A1999"/>
    <w:rsid w:val="000A2564"/>
    <w:rsid w:val="000A38F6"/>
    <w:rsid w:val="000A5049"/>
    <w:rsid w:val="000A6685"/>
    <w:rsid w:val="000A6FE1"/>
    <w:rsid w:val="000B14B1"/>
    <w:rsid w:val="000B16DB"/>
    <w:rsid w:val="000B180D"/>
    <w:rsid w:val="000B2D85"/>
    <w:rsid w:val="000B3A40"/>
    <w:rsid w:val="000B4C21"/>
    <w:rsid w:val="000B5908"/>
    <w:rsid w:val="000C0C6F"/>
    <w:rsid w:val="000C0EF5"/>
    <w:rsid w:val="000C3FC8"/>
    <w:rsid w:val="000C5C65"/>
    <w:rsid w:val="000C6653"/>
    <w:rsid w:val="000D1419"/>
    <w:rsid w:val="000D43E6"/>
    <w:rsid w:val="000D5BF2"/>
    <w:rsid w:val="000D7390"/>
    <w:rsid w:val="000E0E54"/>
    <w:rsid w:val="000E2302"/>
    <w:rsid w:val="000E3489"/>
    <w:rsid w:val="000E4E89"/>
    <w:rsid w:val="000E4EF7"/>
    <w:rsid w:val="000F4EB0"/>
    <w:rsid w:val="000F715C"/>
    <w:rsid w:val="000F794C"/>
    <w:rsid w:val="00101084"/>
    <w:rsid w:val="00103DAA"/>
    <w:rsid w:val="00104870"/>
    <w:rsid w:val="00107B33"/>
    <w:rsid w:val="00107E29"/>
    <w:rsid w:val="00113033"/>
    <w:rsid w:val="00114C5F"/>
    <w:rsid w:val="0011554D"/>
    <w:rsid w:val="001156BD"/>
    <w:rsid w:val="00116B42"/>
    <w:rsid w:val="00116D8B"/>
    <w:rsid w:val="001170E4"/>
    <w:rsid w:val="00120AFB"/>
    <w:rsid w:val="001236AE"/>
    <w:rsid w:val="0012429D"/>
    <w:rsid w:val="00124538"/>
    <w:rsid w:val="00126793"/>
    <w:rsid w:val="00126CF8"/>
    <w:rsid w:val="00126FE4"/>
    <w:rsid w:val="0012790F"/>
    <w:rsid w:val="001310EA"/>
    <w:rsid w:val="00132162"/>
    <w:rsid w:val="001324AA"/>
    <w:rsid w:val="00132C98"/>
    <w:rsid w:val="00132EC1"/>
    <w:rsid w:val="0013401B"/>
    <w:rsid w:val="00134790"/>
    <w:rsid w:val="00136019"/>
    <w:rsid w:val="00137063"/>
    <w:rsid w:val="0013712B"/>
    <w:rsid w:val="00140CBB"/>
    <w:rsid w:val="00141333"/>
    <w:rsid w:val="0014313D"/>
    <w:rsid w:val="00144B1E"/>
    <w:rsid w:val="00145320"/>
    <w:rsid w:val="001453F7"/>
    <w:rsid w:val="00146C68"/>
    <w:rsid w:val="00147A4C"/>
    <w:rsid w:val="001511F5"/>
    <w:rsid w:val="00154DD8"/>
    <w:rsid w:val="00156CCF"/>
    <w:rsid w:val="00157060"/>
    <w:rsid w:val="00157CD4"/>
    <w:rsid w:val="00160582"/>
    <w:rsid w:val="0016169C"/>
    <w:rsid w:val="00161B94"/>
    <w:rsid w:val="0016229F"/>
    <w:rsid w:val="001635D0"/>
    <w:rsid w:val="0016618F"/>
    <w:rsid w:val="001673C8"/>
    <w:rsid w:val="00167438"/>
    <w:rsid w:val="00167B60"/>
    <w:rsid w:val="00167CF0"/>
    <w:rsid w:val="0017062D"/>
    <w:rsid w:val="00173DA8"/>
    <w:rsid w:val="00174CA8"/>
    <w:rsid w:val="00175691"/>
    <w:rsid w:val="00175CA7"/>
    <w:rsid w:val="001771D5"/>
    <w:rsid w:val="001773BF"/>
    <w:rsid w:val="001775C1"/>
    <w:rsid w:val="001775FB"/>
    <w:rsid w:val="0017784C"/>
    <w:rsid w:val="00181D1F"/>
    <w:rsid w:val="00183495"/>
    <w:rsid w:val="00183A80"/>
    <w:rsid w:val="00185E36"/>
    <w:rsid w:val="00186346"/>
    <w:rsid w:val="00186D18"/>
    <w:rsid w:val="0018727E"/>
    <w:rsid w:val="00190254"/>
    <w:rsid w:val="001910B5"/>
    <w:rsid w:val="00191418"/>
    <w:rsid w:val="0019189B"/>
    <w:rsid w:val="00192A8A"/>
    <w:rsid w:val="0019402D"/>
    <w:rsid w:val="001941F7"/>
    <w:rsid w:val="00194943"/>
    <w:rsid w:val="00197CEB"/>
    <w:rsid w:val="001A07DB"/>
    <w:rsid w:val="001A13C3"/>
    <w:rsid w:val="001A2121"/>
    <w:rsid w:val="001A22CD"/>
    <w:rsid w:val="001A33B9"/>
    <w:rsid w:val="001A498D"/>
    <w:rsid w:val="001A72A6"/>
    <w:rsid w:val="001B0CEA"/>
    <w:rsid w:val="001B2324"/>
    <w:rsid w:val="001B322E"/>
    <w:rsid w:val="001B5515"/>
    <w:rsid w:val="001B59A3"/>
    <w:rsid w:val="001B61EE"/>
    <w:rsid w:val="001B6CD0"/>
    <w:rsid w:val="001C0246"/>
    <w:rsid w:val="001C0803"/>
    <w:rsid w:val="001C2F63"/>
    <w:rsid w:val="001C39F8"/>
    <w:rsid w:val="001C3CE1"/>
    <w:rsid w:val="001C609C"/>
    <w:rsid w:val="001C7D9D"/>
    <w:rsid w:val="001D0123"/>
    <w:rsid w:val="001D0645"/>
    <w:rsid w:val="001D07CB"/>
    <w:rsid w:val="001D16AF"/>
    <w:rsid w:val="001D1BEE"/>
    <w:rsid w:val="001D215A"/>
    <w:rsid w:val="001D2A3E"/>
    <w:rsid w:val="001D37B9"/>
    <w:rsid w:val="001D5AEB"/>
    <w:rsid w:val="001D5C13"/>
    <w:rsid w:val="001D67F4"/>
    <w:rsid w:val="001D6EBF"/>
    <w:rsid w:val="001E0EA6"/>
    <w:rsid w:val="001E1D8E"/>
    <w:rsid w:val="001E1E12"/>
    <w:rsid w:val="001E288B"/>
    <w:rsid w:val="001E2955"/>
    <w:rsid w:val="001E3758"/>
    <w:rsid w:val="001E46F1"/>
    <w:rsid w:val="001E6E05"/>
    <w:rsid w:val="001E6F5D"/>
    <w:rsid w:val="001F0639"/>
    <w:rsid w:val="001F0703"/>
    <w:rsid w:val="001F1E73"/>
    <w:rsid w:val="001F2097"/>
    <w:rsid w:val="001F2C80"/>
    <w:rsid w:val="001F3887"/>
    <w:rsid w:val="001F6149"/>
    <w:rsid w:val="001F7C24"/>
    <w:rsid w:val="002014EE"/>
    <w:rsid w:val="00201B0E"/>
    <w:rsid w:val="00201B1F"/>
    <w:rsid w:val="00201FC0"/>
    <w:rsid w:val="002026B4"/>
    <w:rsid w:val="00202D51"/>
    <w:rsid w:val="00203FAB"/>
    <w:rsid w:val="00204365"/>
    <w:rsid w:val="00205B8D"/>
    <w:rsid w:val="00206173"/>
    <w:rsid w:val="0021166D"/>
    <w:rsid w:val="002126CC"/>
    <w:rsid w:val="00212C4B"/>
    <w:rsid w:val="002139BD"/>
    <w:rsid w:val="002142C0"/>
    <w:rsid w:val="0021596F"/>
    <w:rsid w:val="00215A10"/>
    <w:rsid w:val="002162E7"/>
    <w:rsid w:val="002203DA"/>
    <w:rsid w:val="00220D71"/>
    <w:rsid w:val="00220E44"/>
    <w:rsid w:val="00221665"/>
    <w:rsid w:val="00223A97"/>
    <w:rsid w:val="00225635"/>
    <w:rsid w:val="00226F46"/>
    <w:rsid w:val="00227465"/>
    <w:rsid w:val="00227597"/>
    <w:rsid w:val="002277EF"/>
    <w:rsid w:val="00231F62"/>
    <w:rsid w:val="002324E1"/>
    <w:rsid w:val="00232C78"/>
    <w:rsid w:val="00233583"/>
    <w:rsid w:val="00233683"/>
    <w:rsid w:val="00233D9D"/>
    <w:rsid w:val="00235217"/>
    <w:rsid w:val="00240AB1"/>
    <w:rsid w:val="0024409E"/>
    <w:rsid w:val="002450EC"/>
    <w:rsid w:val="002455D1"/>
    <w:rsid w:val="002456B6"/>
    <w:rsid w:val="00247740"/>
    <w:rsid w:val="00250360"/>
    <w:rsid w:val="002517F4"/>
    <w:rsid w:val="002530A9"/>
    <w:rsid w:val="00254027"/>
    <w:rsid w:val="00254067"/>
    <w:rsid w:val="0025459D"/>
    <w:rsid w:val="00256A23"/>
    <w:rsid w:val="00256A9E"/>
    <w:rsid w:val="00256BA5"/>
    <w:rsid w:val="00256ED1"/>
    <w:rsid w:val="00261E91"/>
    <w:rsid w:val="00262ACD"/>
    <w:rsid w:val="00263072"/>
    <w:rsid w:val="002639CD"/>
    <w:rsid w:val="002650F0"/>
    <w:rsid w:val="002653D1"/>
    <w:rsid w:val="00265433"/>
    <w:rsid w:val="002676B0"/>
    <w:rsid w:val="00270B60"/>
    <w:rsid w:val="0027316A"/>
    <w:rsid w:val="00274AAB"/>
    <w:rsid w:val="00276B3E"/>
    <w:rsid w:val="002770A8"/>
    <w:rsid w:val="002776B5"/>
    <w:rsid w:val="00281D19"/>
    <w:rsid w:val="00281F5B"/>
    <w:rsid w:val="002839B3"/>
    <w:rsid w:val="00283B12"/>
    <w:rsid w:val="002854BB"/>
    <w:rsid w:val="00290276"/>
    <w:rsid w:val="00291D1C"/>
    <w:rsid w:val="00293C20"/>
    <w:rsid w:val="00294D0C"/>
    <w:rsid w:val="00294F4C"/>
    <w:rsid w:val="0029532B"/>
    <w:rsid w:val="00295AC8"/>
    <w:rsid w:val="00295ED8"/>
    <w:rsid w:val="002A0445"/>
    <w:rsid w:val="002A2314"/>
    <w:rsid w:val="002A680F"/>
    <w:rsid w:val="002A742A"/>
    <w:rsid w:val="002A7B3E"/>
    <w:rsid w:val="002B16D6"/>
    <w:rsid w:val="002B1EDA"/>
    <w:rsid w:val="002B388E"/>
    <w:rsid w:val="002B4860"/>
    <w:rsid w:val="002B51A5"/>
    <w:rsid w:val="002C0568"/>
    <w:rsid w:val="002C42F3"/>
    <w:rsid w:val="002C45EF"/>
    <w:rsid w:val="002C68BD"/>
    <w:rsid w:val="002C7820"/>
    <w:rsid w:val="002C7C5E"/>
    <w:rsid w:val="002D1C89"/>
    <w:rsid w:val="002D262E"/>
    <w:rsid w:val="002D3200"/>
    <w:rsid w:val="002D34D2"/>
    <w:rsid w:val="002D4F84"/>
    <w:rsid w:val="002D63E7"/>
    <w:rsid w:val="002D707C"/>
    <w:rsid w:val="002D70DA"/>
    <w:rsid w:val="002D7B9E"/>
    <w:rsid w:val="002D7EF1"/>
    <w:rsid w:val="002E02C0"/>
    <w:rsid w:val="002E10C8"/>
    <w:rsid w:val="002E1163"/>
    <w:rsid w:val="002E1815"/>
    <w:rsid w:val="002E1EF4"/>
    <w:rsid w:val="002E486F"/>
    <w:rsid w:val="002E4CAF"/>
    <w:rsid w:val="002E668D"/>
    <w:rsid w:val="002E7834"/>
    <w:rsid w:val="002F18FA"/>
    <w:rsid w:val="002F2C26"/>
    <w:rsid w:val="002F2CAF"/>
    <w:rsid w:val="002F3F07"/>
    <w:rsid w:val="002F5380"/>
    <w:rsid w:val="002F57C8"/>
    <w:rsid w:val="002F5CBF"/>
    <w:rsid w:val="002F5D36"/>
    <w:rsid w:val="002F757D"/>
    <w:rsid w:val="00300457"/>
    <w:rsid w:val="003025E9"/>
    <w:rsid w:val="00303367"/>
    <w:rsid w:val="003033AA"/>
    <w:rsid w:val="0030504D"/>
    <w:rsid w:val="003054E7"/>
    <w:rsid w:val="00306F13"/>
    <w:rsid w:val="0030774F"/>
    <w:rsid w:val="00307CDA"/>
    <w:rsid w:val="00310DF8"/>
    <w:rsid w:val="00311138"/>
    <w:rsid w:val="00313271"/>
    <w:rsid w:val="00314A1A"/>
    <w:rsid w:val="00314CBA"/>
    <w:rsid w:val="00314E2C"/>
    <w:rsid w:val="003152AB"/>
    <w:rsid w:val="00315FF6"/>
    <w:rsid w:val="00317221"/>
    <w:rsid w:val="00320ABA"/>
    <w:rsid w:val="00320D45"/>
    <w:rsid w:val="00323FF1"/>
    <w:rsid w:val="00327881"/>
    <w:rsid w:val="00327978"/>
    <w:rsid w:val="00327E02"/>
    <w:rsid w:val="0033073B"/>
    <w:rsid w:val="0033094D"/>
    <w:rsid w:val="00330C23"/>
    <w:rsid w:val="003311A2"/>
    <w:rsid w:val="00333781"/>
    <w:rsid w:val="003341F5"/>
    <w:rsid w:val="00335125"/>
    <w:rsid w:val="00335836"/>
    <w:rsid w:val="00336174"/>
    <w:rsid w:val="00336E49"/>
    <w:rsid w:val="003372F6"/>
    <w:rsid w:val="00340295"/>
    <w:rsid w:val="003408FE"/>
    <w:rsid w:val="003417AF"/>
    <w:rsid w:val="003422B9"/>
    <w:rsid w:val="003425B4"/>
    <w:rsid w:val="003443CD"/>
    <w:rsid w:val="0034446D"/>
    <w:rsid w:val="00347F25"/>
    <w:rsid w:val="00347FEF"/>
    <w:rsid w:val="0035153E"/>
    <w:rsid w:val="0035239D"/>
    <w:rsid w:val="00352728"/>
    <w:rsid w:val="003527F1"/>
    <w:rsid w:val="0035485D"/>
    <w:rsid w:val="003554E4"/>
    <w:rsid w:val="00355595"/>
    <w:rsid w:val="00355D98"/>
    <w:rsid w:val="003561F5"/>
    <w:rsid w:val="00361E6B"/>
    <w:rsid w:val="00362849"/>
    <w:rsid w:val="00363FBA"/>
    <w:rsid w:val="00364086"/>
    <w:rsid w:val="0036552A"/>
    <w:rsid w:val="00365AA0"/>
    <w:rsid w:val="00367211"/>
    <w:rsid w:val="00374544"/>
    <w:rsid w:val="00375A2A"/>
    <w:rsid w:val="003765A2"/>
    <w:rsid w:val="0038062E"/>
    <w:rsid w:val="003808F6"/>
    <w:rsid w:val="003811B6"/>
    <w:rsid w:val="00381501"/>
    <w:rsid w:val="0038178E"/>
    <w:rsid w:val="00382126"/>
    <w:rsid w:val="00382ACF"/>
    <w:rsid w:val="00384AC6"/>
    <w:rsid w:val="003860EA"/>
    <w:rsid w:val="0038641D"/>
    <w:rsid w:val="003867AE"/>
    <w:rsid w:val="00386A9F"/>
    <w:rsid w:val="00387AC1"/>
    <w:rsid w:val="00391BFB"/>
    <w:rsid w:val="00392ECC"/>
    <w:rsid w:val="00393041"/>
    <w:rsid w:val="0039344B"/>
    <w:rsid w:val="003936EA"/>
    <w:rsid w:val="00395424"/>
    <w:rsid w:val="0039562C"/>
    <w:rsid w:val="00395EE0"/>
    <w:rsid w:val="00397525"/>
    <w:rsid w:val="003A24E8"/>
    <w:rsid w:val="003A2503"/>
    <w:rsid w:val="003A2881"/>
    <w:rsid w:val="003A28EB"/>
    <w:rsid w:val="003A2C88"/>
    <w:rsid w:val="003A3787"/>
    <w:rsid w:val="003A3D2F"/>
    <w:rsid w:val="003A4935"/>
    <w:rsid w:val="003A5589"/>
    <w:rsid w:val="003A58E5"/>
    <w:rsid w:val="003A5FCE"/>
    <w:rsid w:val="003A70A0"/>
    <w:rsid w:val="003A74EB"/>
    <w:rsid w:val="003A76A4"/>
    <w:rsid w:val="003A7DF8"/>
    <w:rsid w:val="003A7E9A"/>
    <w:rsid w:val="003B087C"/>
    <w:rsid w:val="003B0CB2"/>
    <w:rsid w:val="003B1508"/>
    <w:rsid w:val="003B294F"/>
    <w:rsid w:val="003B4669"/>
    <w:rsid w:val="003B4E62"/>
    <w:rsid w:val="003B5CFD"/>
    <w:rsid w:val="003B6864"/>
    <w:rsid w:val="003B756E"/>
    <w:rsid w:val="003B785E"/>
    <w:rsid w:val="003B7DB9"/>
    <w:rsid w:val="003C0035"/>
    <w:rsid w:val="003C0393"/>
    <w:rsid w:val="003C0469"/>
    <w:rsid w:val="003C07D6"/>
    <w:rsid w:val="003C0DA7"/>
    <w:rsid w:val="003C0F09"/>
    <w:rsid w:val="003C35B4"/>
    <w:rsid w:val="003C4D25"/>
    <w:rsid w:val="003C4DFB"/>
    <w:rsid w:val="003D3553"/>
    <w:rsid w:val="003D3B70"/>
    <w:rsid w:val="003D45A4"/>
    <w:rsid w:val="003D50B5"/>
    <w:rsid w:val="003D65A3"/>
    <w:rsid w:val="003D6CEC"/>
    <w:rsid w:val="003D76AB"/>
    <w:rsid w:val="003D7984"/>
    <w:rsid w:val="003E131B"/>
    <w:rsid w:val="003E3B93"/>
    <w:rsid w:val="003E40AB"/>
    <w:rsid w:val="003E4E98"/>
    <w:rsid w:val="003E58A4"/>
    <w:rsid w:val="003E6A02"/>
    <w:rsid w:val="003E78CD"/>
    <w:rsid w:val="003F1923"/>
    <w:rsid w:val="003F3682"/>
    <w:rsid w:val="003F3CC0"/>
    <w:rsid w:val="003F3DD6"/>
    <w:rsid w:val="003F5811"/>
    <w:rsid w:val="003F5843"/>
    <w:rsid w:val="003F5A58"/>
    <w:rsid w:val="003F650D"/>
    <w:rsid w:val="003F6706"/>
    <w:rsid w:val="004014F5"/>
    <w:rsid w:val="00401FD3"/>
    <w:rsid w:val="00402169"/>
    <w:rsid w:val="00404B71"/>
    <w:rsid w:val="00404FD0"/>
    <w:rsid w:val="0040535B"/>
    <w:rsid w:val="00405E9E"/>
    <w:rsid w:val="00406366"/>
    <w:rsid w:val="00406F61"/>
    <w:rsid w:val="004074F3"/>
    <w:rsid w:val="00410267"/>
    <w:rsid w:val="00411D1A"/>
    <w:rsid w:val="00413C5E"/>
    <w:rsid w:val="004151E3"/>
    <w:rsid w:val="00415768"/>
    <w:rsid w:val="00416615"/>
    <w:rsid w:val="004173EE"/>
    <w:rsid w:val="004225B9"/>
    <w:rsid w:val="0042265B"/>
    <w:rsid w:val="00423B0F"/>
    <w:rsid w:val="004274E4"/>
    <w:rsid w:val="0043280C"/>
    <w:rsid w:val="0043375C"/>
    <w:rsid w:val="004337C8"/>
    <w:rsid w:val="00434B17"/>
    <w:rsid w:val="00435EBE"/>
    <w:rsid w:val="004376E3"/>
    <w:rsid w:val="00440085"/>
    <w:rsid w:val="00442202"/>
    <w:rsid w:val="0044257B"/>
    <w:rsid w:val="00443EE6"/>
    <w:rsid w:val="004442B1"/>
    <w:rsid w:val="004450A4"/>
    <w:rsid w:val="0044626F"/>
    <w:rsid w:val="00451A85"/>
    <w:rsid w:val="00451ACD"/>
    <w:rsid w:val="0045274B"/>
    <w:rsid w:val="00452C56"/>
    <w:rsid w:val="0045408F"/>
    <w:rsid w:val="004557D6"/>
    <w:rsid w:val="00456255"/>
    <w:rsid w:val="00456364"/>
    <w:rsid w:val="00456AD9"/>
    <w:rsid w:val="00456CA9"/>
    <w:rsid w:val="004570EF"/>
    <w:rsid w:val="004604BA"/>
    <w:rsid w:val="004609A4"/>
    <w:rsid w:val="0046225B"/>
    <w:rsid w:val="004640F7"/>
    <w:rsid w:val="00465D69"/>
    <w:rsid w:val="00467990"/>
    <w:rsid w:val="00467C8D"/>
    <w:rsid w:val="00467C90"/>
    <w:rsid w:val="004700FD"/>
    <w:rsid w:val="004702D0"/>
    <w:rsid w:val="00471AD6"/>
    <w:rsid w:val="004723FD"/>
    <w:rsid w:val="00472B7C"/>
    <w:rsid w:val="00473DB7"/>
    <w:rsid w:val="004744BE"/>
    <w:rsid w:val="004766DB"/>
    <w:rsid w:val="00476FB4"/>
    <w:rsid w:val="00480188"/>
    <w:rsid w:val="00480603"/>
    <w:rsid w:val="0048315E"/>
    <w:rsid w:val="00483255"/>
    <w:rsid w:val="0048485A"/>
    <w:rsid w:val="00486E79"/>
    <w:rsid w:val="00487928"/>
    <w:rsid w:val="004903CC"/>
    <w:rsid w:val="004908F9"/>
    <w:rsid w:val="004914F2"/>
    <w:rsid w:val="0049652C"/>
    <w:rsid w:val="00496DAF"/>
    <w:rsid w:val="00497F78"/>
    <w:rsid w:val="004A02BC"/>
    <w:rsid w:val="004A04AB"/>
    <w:rsid w:val="004A1DD6"/>
    <w:rsid w:val="004A73C3"/>
    <w:rsid w:val="004B005B"/>
    <w:rsid w:val="004B0AEB"/>
    <w:rsid w:val="004B0B9C"/>
    <w:rsid w:val="004B238D"/>
    <w:rsid w:val="004B418D"/>
    <w:rsid w:val="004B7C49"/>
    <w:rsid w:val="004C2196"/>
    <w:rsid w:val="004C2528"/>
    <w:rsid w:val="004C309C"/>
    <w:rsid w:val="004C3E50"/>
    <w:rsid w:val="004C403B"/>
    <w:rsid w:val="004C4743"/>
    <w:rsid w:val="004C53D0"/>
    <w:rsid w:val="004C5503"/>
    <w:rsid w:val="004C665C"/>
    <w:rsid w:val="004C6815"/>
    <w:rsid w:val="004D1A81"/>
    <w:rsid w:val="004D4CEF"/>
    <w:rsid w:val="004D4E85"/>
    <w:rsid w:val="004D4ED3"/>
    <w:rsid w:val="004D6959"/>
    <w:rsid w:val="004E18D3"/>
    <w:rsid w:val="004E1CAD"/>
    <w:rsid w:val="004E371C"/>
    <w:rsid w:val="004E3D1F"/>
    <w:rsid w:val="004E4383"/>
    <w:rsid w:val="004F0858"/>
    <w:rsid w:val="004F0BBC"/>
    <w:rsid w:val="004F11D6"/>
    <w:rsid w:val="004F60D7"/>
    <w:rsid w:val="004F62B4"/>
    <w:rsid w:val="004F69F3"/>
    <w:rsid w:val="004F6C87"/>
    <w:rsid w:val="004F7C09"/>
    <w:rsid w:val="004F7EDA"/>
    <w:rsid w:val="005002A2"/>
    <w:rsid w:val="0050070F"/>
    <w:rsid w:val="00503497"/>
    <w:rsid w:val="0050401F"/>
    <w:rsid w:val="00504D84"/>
    <w:rsid w:val="00506726"/>
    <w:rsid w:val="00507978"/>
    <w:rsid w:val="00507ABA"/>
    <w:rsid w:val="00507C95"/>
    <w:rsid w:val="00510056"/>
    <w:rsid w:val="0051199E"/>
    <w:rsid w:val="005148A1"/>
    <w:rsid w:val="00514D65"/>
    <w:rsid w:val="00514D79"/>
    <w:rsid w:val="00515C6B"/>
    <w:rsid w:val="005205BD"/>
    <w:rsid w:val="00520CF8"/>
    <w:rsid w:val="00521119"/>
    <w:rsid w:val="0052204E"/>
    <w:rsid w:val="00522C7C"/>
    <w:rsid w:val="00524470"/>
    <w:rsid w:val="00524FA3"/>
    <w:rsid w:val="005250F3"/>
    <w:rsid w:val="005267DD"/>
    <w:rsid w:val="00527241"/>
    <w:rsid w:val="00527550"/>
    <w:rsid w:val="00527DD4"/>
    <w:rsid w:val="00531419"/>
    <w:rsid w:val="00531E6A"/>
    <w:rsid w:val="0053302C"/>
    <w:rsid w:val="00534B08"/>
    <w:rsid w:val="00535F49"/>
    <w:rsid w:val="00537467"/>
    <w:rsid w:val="00540178"/>
    <w:rsid w:val="00540E84"/>
    <w:rsid w:val="00541105"/>
    <w:rsid w:val="005411CA"/>
    <w:rsid w:val="00541201"/>
    <w:rsid w:val="00544EAC"/>
    <w:rsid w:val="00545562"/>
    <w:rsid w:val="00551252"/>
    <w:rsid w:val="00551457"/>
    <w:rsid w:val="005518A7"/>
    <w:rsid w:val="00551C5E"/>
    <w:rsid w:val="005520EB"/>
    <w:rsid w:val="0055326D"/>
    <w:rsid w:val="00554A88"/>
    <w:rsid w:val="00560F54"/>
    <w:rsid w:val="00560F56"/>
    <w:rsid w:val="00561486"/>
    <w:rsid w:val="0056241E"/>
    <w:rsid w:val="005648E0"/>
    <w:rsid w:val="00564B67"/>
    <w:rsid w:val="00565389"/>
    <w:rsid w:val="00567CBB"/>
    <w:rsid w:val="0057120C"/>
    <w:rsid w:val="00572F13"/>
    <w:rsid w:val="0057301C"/>
    <w:rsid w:val="00573264"/>
    <w:rsid w:val="00575EE0"/>
    <w:rsid w:val="00576814"/>
    <w:rsid w:val="00576A77"/>
    <w:rsid w:val="00577E28"/>
    <w:rsid w:val="00580328"/>
    <w:rsid w:val="00580830"/>
    <w:rsid w:val="00580A08"/>
    <w:rsid w:val="0058428B"/>
    <w:rsid w:val="00586F5A"/>
    <w:rsid w:val="00587F6E"/>
    <w:rsid w:val="00592635"/>
    <w:rsid w:val="0059279E"/>
    <w:rsid w:val="00595D46"/>
    <w:rsid w:val="005960F9"/>
    <w:rsid w:val="0059655B"/>
    <w:rsid w:val="00597645"/>
    <w:rsid w:val="00597C44"/>
    <w:rsid w:val="005A0BD1"/>
    <w:rsid w:val="005A1356"/>
    <w:rsid w:val="005A2835"/>
    <w:rsid w:val="005A3E4A"/>
    <w:rsid w:val="005A4241"/>
    <w:rsid w:val="005A5B57"/>
    <w:rsid w:val="005A600C"/>
    <w:rsid w:val="005A6A41"/>
    <w:rsid w:val="005A7C05"/>
    <w:rsid w:val="005B192B"/>
    <w:rsid w:val="005B36F7"/>
    <w:rsid w:val="005B3D83"/>
    <w:rsid w:val="005B46BF"/>
    <w:rsid w:val="005B516A"/>
    <w:rsid w:val="005B620A"/>
    <w:rsid w:val="005C034D"/>
    <w:rsid w:val="005C067E"/>
    <w:rsid w:val="005C0BE5"/>
    <w:rsid w:val="005C3A20"/>
    <w:rsid w:val="005C3C74"/>
    <w:rsid w:val="005C4C2F"/>
    <w:rsid w:val="005C707B"/>
    <w:rsid w:val="005C725F"/>
    <w:rsid w:val="005D12A3"/>
    <w:rsid w:val="005D2812"/>
    <w:rsid w:val="005D32CA"/>
    <w:rsid w:val="005D5122"/>
    <w:rsid w:val="005D583C"/>
    <w:rsid w:val="005D5968"/>
    <w:rsid w:val="005D5F7B"/>
    <w:rsid w:val="005D64F3"/>
    <w:rsid w:val="005E0E84"/>
    <w:rsid w:val="005E480A"/>
    <w:rsid w:val="005E6007"/>
    <w:rsid w:val="005E7F94"/>
    <w:rsid w:val="005F0A61"/>
    <w:rsid w:val="005F0F9A"/>
    <w:rsid w:val="005F2681"/>
    <w:rsid w:val="005F34C0"/>
    <w:rsid w:val="005F4378"/>
    <w:rsid w:val="005F4914"/>
    <w:rsid w:val="005F6BA5"/>
    <w:rsid w:val="005F6D48"/>
    <w:rsid w:val="005F6FA0"/>
    <w:rsid w:val="005F7483"/>
    <w:rsid w:val="005F78FC"/>
    <w:rsid w:val="0060036A"/>
    <w:rsid w:val="00601171"/>
    <w:rsid w:val="00601687"/>
    <w:rsid w:val="00603C17"/>
    <w:rsid w:val="00605E08"/>
    <w:rsid w:val="0060682F"/>
    <w:rsid w:val="00607C19"/>
    <w:rsid w:val="006101B5"/>
    <w:rsid w:val="0061024C"/>
    <w:rsid w:val="00611C12"/>
    <w:rsid w:val="00611C4D"/>
    <w:rsid w:val="0061277D"/>
    <w:rsid w:val="00612D96"/>
    <w:rsid w:val="0061431A"/>
    <w:rsid w:val="00615125"/>
    <w:rsid w:val="00617D7A"/>
    <w:rsid w:val="00620EFA"/>
    <w:rsid w:val="00621D2C"/>
    <w:rsid w:val="00622B52"/>
    <w:rsid w:val="006235EB"/>
    <w:rsid w:val="00625A71"/>
    <w:rsid w:val="00626372"/>
    <w:rsid w:val="00627B8C"/>
    <w:rsid w:val="00630BAB"/>
    <w:rsid w:val="00631E95"/>
    <w:rsid w:val="0063322A"/>
    <w:rsid w:val="00634DB2"/>
    <w:rsid w:val="00635C25"/>
    <w:rsid w:val="00637B38"/>
    <w:rsid w:val="00637F69"/>
    <w:rsid w:val="0064024C"/>
    <w:rsid w:val="006407D0"/>
    <w:rsid w:val="006422F4"/>
    <w:rsid w:val="006445EE"/>
    <w:rsid w:val="006454E6"/>
    <w:rsid w:val="006454F2"/>
    <w:rsid w:val="00645A45"/>
    <w:rsid w:val="006479B8"/>
    <w:rsid w:val="0065181D"/>
    <w:rsid w:val="00651D7D"/>
    <w:rsid w:val="006532B5"/>
    <w:rsid w:val="006549F3"/>
    <w:rsid w:val="00654AB0"/>
    <w:rsid w:val="00655A94"/>
    <w:rsid w:val="0065760E"/>
    <w:rsid w:val="00660FDE"/>
    <w:rsid w:val="0066167D"/>
    <w:rsid w:val="00661680"/>
    <w:rsid w:val="0066186F"/>
    <w:rsid w:val="0066207F"/>
    <w:rsid w:val="006635A0"/>
    <w:rsid w:val="006654E4"/>
    <w:rsid w:val="00665C0E"/>
    <w:rsid w:val="00665CC9"/>
    <w:rsid w:val="00670064"/>
    <w:rsid w:val="00672148"/>
    <w:rsid w:val="00673E92"/>
    <w:rsid w:val="00674822"/>
    <w:rsid w:val="00675D6A"/>
    <w:rsid w:val="00675E5F"/>
    <w:rsid w:val="006767E7"/>
    <w:rsid w:val="00676D8B"/>
    <w:rsid w:val="006778D3"/>
    <w:rsid w:val="00677C27"/>
    <w:rsid w:val="00677D0E"/>
    <w:rsid w:val="00677F10"/>
    <w:rsid w:val="00680D07"/>
    <w:rsid w:val="00681309"/>
    <w:rsid w:val="00682D81"/>
    <w:rsid w:val="006902B4"/>
    <w:rsid w:val="00691CED"/>
    <w:rsid w:val="00692336"/>
    <w:rsid w:val="006927F1"/>
    <w:rsid w:val="00693AC7"/>
    <w:rsid w:val="00694FDF"/>
    <w:rsid w:val="006959A2"/>
    <w:rsid w:val="0069693F"/>
    <w:rsid w:val="00697258"/>
    <w:rsid w:val="006A2D67"/>
    <w:rsid w:val="006A4E4C"/>
    <w:rsid w:val="006A5FF7"/>
    <w:rsid w:val="006A75F8"/>
    <w:rsid w:val="006A7A20"/>
    <w:rsid w:val="006B0A82"/>
    <w:rsid w:val="006B0AB5"/>
    <w:rsid w:val="006B0B8C"/>
    <w:rsid w:val="006B1805"/>
    <w:rsid w:val="006B2875"/>
    <w:rsid w:val="006B5440"/>
    <w:rsid w:val="006B6C96"/>
    <w:rsid w:val="006B72B2"/>
    <w:rsid w:val="006B7384"/>
    <w:rsid w:val="006C1F05"/>
    <w:rsid w:val="006C208C"/>
    <w:rsid w:val="006C28F5"/>
    <w:rsid w:val="006C3B81"/>
    <w:rsid w:val="006C3F78"/>
    <w:rsid w:val="006C48A1"/>
    <w:rsid w:val="006C568B"/>
    <w:rsid w:val="006C651F"/>
    <w:rsid w:val="006C6A72"/>
    <w:rsid w:val="006D300A"/>
    <w:rsid w:val="006D3459"/>
    <w:rsid w:val="006D4867"/>
    <w:rsid w:val="006D664B"/>
    <w:rsid w:val="006D6770"/>
    <w:rsid w:val="006D68B6"/>
    <w:rsid w:val="006D7B03"/>
    <w:rsid w:val="006E2747"/>
    <w:rsid w:val="006E2CEE"/>
    <w:rsid w:val="006E79DB"/>
    <w:rsid w:val="006F01DC"/>
    <w:rsid w:val="006F1D3C"/>
    <w:rsid w:val="006F3C9E"/>
    <w:rsid w:val="006F459C"/>
    <w:rsid w:val="006F5B80"/>
    <w:rsid w:val="0070061F"/>
    <w:rsid w:val="00700EDE"/>
    <w:rsid w:val="00700F99"/>
    <w:rsid w:val="00703F0E"/>
    <w:rsid w:val="00706814"/>
    <w:rsid w:val="00707FC6"/>
    <w:rsid w:val="007100C0"/>
    <w:rsid w:val="0071039A"/>
    <w:rsid w:val="0071414E"/>
    <w:rsid w:val="007146D0"/>
    <w:rsid w:val="00714C75"/>
    <w:rsid w:val="00715A65"/>
    <w:rsid w:val="007166BA"/>
    <w:rsid w:val="007172AA"/>
    <w:rsid w:val="00717DE2"/>
    <w:rsid w:val="007240E0"/>
    <w:rsid w:val="00724961"/>
    <w:rsid w:val="00724C8C"/>
    <w:rsid w:val="007325C2"/>
    <w:rsid w:val="00732CFD"/>
    <w:rsid w:val="00734941"/>
    <w:rsid w:val="00734D87"/>
    <w:rsid w:val="00734F12"/>
    <w:rsid w:val="00735475"/>
    <w:rsid w:val="00736D7F"/>
    <w:rsid w:val="0073731F"/>
    <w:rsid w:val="00741291"/>
    <w:rsid w:val="007419B5"/>
    <w:rsid w:val="00744132"/>
    <w:rsid w:val="0074455D"/>
    <w:rsid w:val="00744E7B"/>
    <w:rsid w:val="00746A00"/>
    <w:rsid w:val="00747C4E"/>
    <w:rsid w:val="007503C6"/>
    <w:rsid w:val="0075044C"/>
    <w:rsid w:val="00750BAD"/>
    <w:rsid w:val="00751771"/>
    <w:rsid w:val="00752062"/>
    <w:rsid w:val="007531EC"/>
    <w:rsid w:val="007533C6"/>
    <w:rsid w:val="00753710"/>
    <w:rsid w:val="00755752"/>
    <w:rsid w:val="00756ABF"/>
    <w:rsid w:val="00757FC4"/>
    <w:rsid w:val="00757FD7"/>
    <w:rsid w:val="00760767"/>
    <w:rsid w:val="00760F8C"/>
    <w:rsid w:val="0076227E"/>
    <w:rsid w:val="007635C0"/>
    <w:rsid w:val="00764525"/>
    <w:rsid w:val="00765304"/>
    <w:rsid w:val="00766A70"/>
    <w:rsid w:val="00771600"/>
    <w:rsid w:val="00771B10"/>
    <w:rsid w:val="00773A07"/>
    <w:rsid w:val="00774E26"/>
    <w:rsid w:val="00776352"/>
    <w:rsid w:val="00776A00"/>
    <w:rsid w:val="007813A9"/>
    <w:rsid w:val="00782985"/>
    <w:rsid w:val="00782A49"/>
    <w:rsid w:val="00782AA3"/>
    <w:rsid w:val="007866A3"/>
    <w:rsid w:val="0078789C"/>
    <w:rsid w:val="007905FA"/>
    <w:rsid w:val="007913AD"/>
    <w:rsid w:val="00791541"/>
    <w:rsid w:val="00792167"/>
    <w:rsid w:val="0079297E"/>
    <w:rsid w:val="00792BA1"/>
    <w:rsid w:val="007951EC"/>
    <w:rsid w:val="00796211"/>
    <w:rsid w:val="007970A2"/>
    <w:rsid w:val="007A0940"/>
    <w:rsid w:val="007A0A16"/>
    <w:rsid w:val="007A6593"/>
    <w:rsid w:val="007A6A51"/>
    <w:rsid w:val="007A70BD"/>
    <w:rsid w:val="007B021F"/>
    <w:rsid w:val="007B098A"/>
    <w:rsid w:val="007B19F1"/>
    <w:rsid w:val="007B2EDB"/>
    <w:rsid w:val="007B720A"/>
    <w:rsid w:val="007B7F5A"/>
    <w:rsid w:val="007C0557"/>
    <w:rsid w:val="007C05D9"/>
    <w:rsid w:val="007C069B"/>
    <w:rsid w:val="007C18DD"/>
    <w:rsid w:val="007C4098"/>
    <w:rsid w:val="007C4768"/>
    <w:rsid w:val="007C4E00"/>
    <w:rsid w:val="007C543C"/>
    <w:rsid w:val="007C5682"/>
    <w:rsid w:val="007C7236"/>
    <w:rsid w:val="007C74A9"/>
    <w:rsid w:val="007C7842"/>
    <w:rsid w:val="007D1688"/>
    <w:rsid w:val="007D20F2"/>
    <w:rsid w:val="007D2154"/>
    <w:rsid w:val="007D21F0"/>
    <w:rsid w:val="007D23B0"/>
    <w:rsid w:val="007D3E59"/>
    <w:rsid w:val="007D6EB5"/>
    <w:rsid w:val="007D6F25"/>
    <w:rsid w:val="007D6F94"/>
    <w:rsid w:val="007D75B0"/>
    <w:rsid w:val="007E0A0D"/>
    <w:rsid w:val="007E0A1E"/>
    <w:rsid w:val="007E0EE2"/>
    <w:rsid w:val="007E1092"/>
    <w:rsid w:val="007E2914"/>
    <w:rsid w:val="007E298F"/>
    <w:rsid w:val="007E464C"/>
    <w:rsid w:val="007E5A9D"/>
    <w:rsid w:val="007E60C9"/>
    <w:rsid w:val="007E6897"/>
    <w:rsid w:val="007E7B31"/>
    <w:rsid w:val="007E7F14"/>
    <w:rsid w:val="007F04FA"/>
    <w:rsid w:val="007F11A7"/>
    <w:rsid w:val="007F1542"/>
    <w:rsid w:val="007F1EA3"/>
    <w:rsid w:val="007F25C5"/>
    <w:rsid w:val="007F27AF"/>
    <w:rsid w:val="007F34F3"/>
    <w:rsid w:val="007F4641"/>
    <w:rsid w:val="007F6CAF"/>
    <w:rsid w:val="007F7309"/>
    <w:rsid w:val="007F77E7"/>
    <w:rsid w:val="007F77F3"/>
    <w:rsid w:val="00800236"/>
    <w:rsid w:val="00800843"/>
    <w:rsid w:val="0080163F"/>
    <w:rsid w:val="00802174"/>
    <w:rsid w:val="008024DD"/>
    <w:rsid w:val="0080392E"/>
    <w:rsid w:val="008053BE"/>
    <w:rsid w:val="00805550"/>
    <w:rsid w:val="00805F50"/>
    <w:rsid w:val="00807552"/>
    <w:rsid w:val="008107DA"/>
    <w:rsid w:val="00811AB6"/>
    <w:rsid w:val="00811B9F"/>
    <w:rsid w:val="00813E3C"/>
    <w:rsid w:val="00814CFD"/>
    <w:rsid w:val="00814FC3"/>
    <w:rsid w:val="00821113"/>
    <w:rsid w:val="00821335"/>
    <w:rsid w:val="00824023"/>
    <w:rsid w:val="00824A78"/>
    <w:rsid w:val="00824C1F"/>
    <w:rsid w:val="008252CE"/>
    <w:rsid w:val="008270C6"/>
    <w:rsid w:val="0082757E"/>
    <w:rsid w:val="00832F76"/>
    <w:rsid w:val="00833786"/>
    <w:rsid w:val="00834B7E"/>
    <w:rsid w:val="0083557C"/>
    <w:rsid w:val="00837357"/>
    <w:rsid w:val="0084306F"/>
    <w:rsid w:val="0084434B"/>
    <w:rsid w:val="00844FC0"/>
    <w:rsid w:val="00847A74"/>
    <w:rsid w:val="00847EE7"/>
    <w:rsid w:val="00850012"/>
    <w:rsid w:val="0085027A"/>
    <w:rsid w:val="00852709"/>
    <w:rsid w:val="00853EB2"/>
    <w:rsid w:val="008544FA"/>
    <w:rsid w:val="00855AB6"/>
    <w:rsid w:val="008564CF"/>
    <w:rsid w:val="0085655E"/>
    <w:rsid w:val="008568E4"/>
    <w:rsid w:val="00860458"/>
    <w:rsid w:val="00860D6D"/>
    <w:rsid w:val="00862602"/>
    <w:rsid w:val="00862ECB"/>
    <w:rsid w:val="008649C4"/>
    <w:rsid w:val="0086601A"/>
    <w:rsid w:val="0086683A"/>
    <w:rsid w:val="008720CA"/>
    <w:rsid w:val="008766EF"/>
    <w:rsid w:val="00876CB6"/>
    <w:rsid w:val="008807A0"/>
    <w:rsid w:val="00884D6D"/>
    <w:rsid w:val="008857DD"/>
    <w:rsid w:val="0088623D"/>
    <w:rsid w:val="00890AD4"/>
    <w:rsid w:val="00890B33"/>
    <w:rsid w:val="00890CF2"/>
    <w:rsid w:val="00890D8B"/>
    <w:rsid w:val="00891370"/>
    <w:rsid w:val="00892DD3"/>
    <w:rsid w:val="008938CD"/>
    <w:rsid w:val="008963DE"/>
    <w:rsid w:val="008A18E8"/>
    <w:rsid w:val="008A1B06"/>
    <w:rsid w:val="008A2679"/>
    <w:rsid w:val="008A569A"/>
    <w:rsid w:val="008B186F"/>
    <w:rsid w:val="008B23A0"/>
    <w:rsid w:val="008B3724"/>
    <w:rsid w:val="008B6394"/>
    <w:rsid w:val="008C46F1"/>
    <w:rsid w:val="008C6044"/>
    <w:rsid w:val="008D3897"/>
    <w:rsid w:val="008D3A2E"/>
    <w:rsid w:val="008D41A8"/>
    <w:rsid w:val="008D4E9A"/>
    <w:rsid w:val="008D50E1"/>
    <w:rsid w:val="008D5609"/>
    <w:rsid w:val="008D5D36"/>
    <w:rsid w:val="008D5D79"/>
    <w:rsid w:val="008D65DA"/>
    <w:rsid w:val="008D69BD"/>
    <w:rsid w:val="008D7F3A"/>
    <w:rsid w:val="008E01F1"/>
    <w:rsid w:val="008E0D06"/>
    <w:rsid w:val="008E314A"/>
    <w:rsid w:val="008E406A"/>
    <w:rsid w:val="008E564C"/>
    <w:rsid w:val="008E585A"/>
    <w:rsid w:val="008F1FA8"/>
    <w:rsid w:val="008F2600"/>
    <w:rsid w:val="008F35FF"/>
    <w:rsid w:val="008F379D"/>
    <w:rsid w:val="008F7120"/>
    <w:rsid w:val="00900374"/>
    <w:rsid w:val="00900598"/>
    <w:rsid w:val="00901FE5"/>
    <w:rsid w:val="009025FD"/>
    <w:rsid w:val="009061A6"/>
    <w:rsid w:val="00906DB0"/>
    <w:rsid w:val="00907831"/>
    <w:rsid w:val="00910C32"/>
    <w:rsid w:val="00911026"/>
    <w:rsid w:val="0091130B"/>
    <w:rsid w:val="00911B9D"/>
    <w:rsid w:val="0091321A"/>
    <w:rsid w:val="00914DC5"/>
    <w:rsid w:val="009150E9"/>
    <w:rsid w:val="009175C0"/>
    <w:rsid w:val="00917B8D"/>
    <w:rsid w:val="00920615"/>
    <w:rsid w:val="009211C0"/>
    <w:rsid w:val="0092519A"/>
    <w:rsid w:val="009259B7"/>
    <w:rsid w:val="00925C65"/>
    <w:rsid w:val="0092628A"/>
    <w:rsid w:val="00926ED9"/>
    <w:rsid w:val="0092750A"/>
    <w:rsid w:val="00927E08"/>
    <w:rsid w:val="00931041"/>
    <w:rsid w:val="00931C5A"/>
    <w:rsid w:val="00931CCE"/>
    <w:rsid w:val="0093236B"/>
    <w:rsid w:val="009324D3"/>
    <w:rsid w:val="00932EB9"/>
    <w:rsid w:val="00932FE9"/>
    <w:rsid w:val="009333D3"/>
    <w:rsid w:val="009337AC"/>
    <w:rsid w:val="00933E51"/>
    <w:rsid w:val="00933F6C"/>
    <w:rsid w:val="009361BC"/>
    <w:rsid w:val="0093621C"/>
    <w:rsid w:val="00937223"/>
    <w:rsid w:val="0093787E"/>
    <w:rsid w:val="00940234"/>
    <w:rsid w:val="00940E5F"/>
    <w:rsid w:val="00941A88"/>
    <w:rsid w:val="00941EAC"/>
    <w:rsid w:val="00945502"/>
    <w:rsid w:val="00946C04"/>
    <w:rsid w:val="00946D1B"/>
    <w:rsid w:val="00946FE4"/>
    <w:rsid w:val="00947477"/>
    <w:rsid w:val="0094766A"/>
    <w:rsid w:val="00947907"/>
    <w:rsid w:val="00951E2C"/>
    <w:rsid w:val="009521BC"/>
    <w:rsid w:val="009533E3"/>
    <w:rsid w:val="00955129"/>
    <w:rsid w:val="00956EBF"/>
    <w:rsid w:val="00957339"/>
    <w:rsid w:val="0096079C"/>
    <w:rsid w:val="0096106D"/>
    <w:rsid w:val="009619CA"/>
    <w:rsid w:val="00963188"/>
    <w:rsid w:val="00963BA6"/>
    <w:rsid w:val="00964C80"/>
    <w:rsid w:val="00966A98"/>
    <w:rsid w:val="009672E9"/>
    <w:rsid w:val="00967768"/>
    <w:rsid w:val="00967B87"/>
    <w:rsid w:val="00967E6F"/>
    <w:rsid w:val="00970784"/>
    <w:rsid w:val="00971832"/>
    <w:rsid w:val="009720A0"/>
    <w:rsid w:val="00972B18"/>
    <w:rsid w:val="0097406F"/>
    <w:rsid w:val="00974445"/>
    <w:rsid w:val="00974F91"/>
    <w:rsid w:val="00977FC0"/>
    <w:rsid w:val="009800CF"/>
    <w:rsid w:val="00980B24"/>
    <w:rsid w:val="00981F77"/>
    <w:rsid w:val="00982905"/>
    <w:rsid w:val="00982F81"/>
    <w:rsid w:val="00983AC0"/>
    <w:rsid w:val="009870C7"/>
    <w:rsid w:val="00992C90"/>
    <w:rsid w:val="00993B96"/>
    <w:rsid w:val="0099476A"/>
    <w:rsid w:val="00994798"/>
    <w:rsid w:val="009955DA"/>
    <w:rsid w:val="00995627"/>
    <w:rsid w:val="00995DD9"/>
    <w:rsid w:val="00996353"/>
    <w:rsid w:val="009971FE"/>
    <w:rsid w:val="009A0636"/>
    <w:rsid w:val="009A0A50"/>
    <w:rsid w:val="009A1D81"/>
    <w:rsid w:val="009A1FE9"/>
    <w:rsid w:val="009A3CDF"/>
    <w:rsid w:val="009A58B6"/>
    <w:rsid w:val="009A767D"/>
    <w:rsid w:val="009A7C50"/>
    <w:rsid w:val="009B01DB"/>
    <w:rsid w:val="009B25E4"/>
    <w:rsid w:val="009B3E01"/>
    <w:rsid w:val="009B3F54"/>
    <w:rsid w:val="009B4268"/>
    <w:rsid w:val="009B4B79"/>
    <w:rsid w:val="009B4CE9"/>
    <w:rsid w:val="009B539D"/>
    <w:rsid w:val="009B5567"/>
    <w:rsid w:val="009B579C"/>
    <w:rsid w:val="009B67A7"/>
    <w:rsid w:val="009B69B6"/>
    <w:rsid w:val="009B7978"/>
    <w:rsid w:val="009C1D75"/>
    <w:rsid w:val="009C2946"/>
    <w:rsid w:val="009C7F81"/>
    <w:rsid w:val="009D0141"/>
    <w:rsid w:val="009D0CBB"/>
    <w:rsid w:val="009D22D0"/>
    <w:rsid w:val="009D3C0A"/>
    <w:rsid w:val="009D43DE"/>
    <w:rsid w:val="009D447D"/>
    <w:rsid w:val="009D4C5D"/>
    <w:rsid w:val="009D4FC2"/>
    <w:rsid w:val="009D5750"/>
    <w:rsid w:val="009D5EC9"/>
    <w:rsid w:val="009D60F4"/>
    <w:rsid w:val="009D650F"/>
    <w:rsid w:val="009D7832"/>
    <w:rsid w:val="009E0DEB"/>
    <w:rsid w:val="009E1D84"/>
    <w:rsid w:val="009E4442"/>
    <w:rsid w:val="009E57F8"/>
    <w:rsid w:val="009E5801"/>
    <w:rsid w:val="009E5DAD"/>
    <w:rsid w:val="009E7C42"/>
    <w:rsid w:val="009F251E"/>
    <w:rsid w:val="009F3735"/>
    <w:rsid w:val="009F4373"/>
    <w:rsid w:val="009F4799"/>
    <w:rsid w:val="00A008FC"/>
    <w:rsid w:val="00A00C4D"/>
    <w:rsid w:val="00A02337"/>
    <w:rsid w:val="00A0269B"/>
    <w:rsid w:val="00A045EA"/>
    <w:rsid w:val="00A0787B"/>
    <w:rsid w:val="00A07D4E"/>
    <w:rsid w:val="00A10067"/>
    <w:rsid w:val="00A10240"/>
    <w:rsid w:val="00A10C34"/>
    <w:rsid w:val="00A110D8"/>
    <w:rsid w:val="00A11B5E"/>
    <w:rsid w:val="00A11ED6"/>
    <w:rsid w:val="00A134E5"/>
    <w:rsid w:val="00A16646"/>
    <w:rsid w:val="00A2034A"/>
    <w:rsid w:val="00A21151"/>
    <w:rsid w:val="00A21D0D"/>
    <w:rsid w:val="00A22670"/>
    <w:rsid w:val="00A2308D"/>
    <w:rsid w:val="00A2467B"/>
    <w:rsid w:val="00A26792"/>
    <w:rsid w:val="00A268C8"/>
    <w:rsid w:val="00A26EFF"/>
    <w:rsid w:val="00A275B7"/>
    <w:rsid w:val="00A32C47"/>
    <w:rsid w:val="00A339F6"/>
    <w:rsid w:val="00A35D6C"/>
    <w:rsid w:val="00A36947"/>
    <w:rsid w:val="00A37BAF"/>
    <w:rsid w:val="00A410E7"/>
    <w:rsid w:val="00A42E90"/>
    <w:rsid w:val="00A433D6"/>
    <w:rsid w:val="00A44AEB"/>
    <w:rsid w:val="00A44C94"/>
    <w:rsid w:val="00A46A71"/>
    <w:rsid w:val="00A47721"/>
    <w:rsid w:val="00A47FD2"/>
    <w:rsid w:val="00A504C7"/>
    <w:rsid w:val="00A519A2"/>
    <w:rsid w:val="00A52278"/>
    <w:rsid w:val="00A5376F"/>
    <w:rsid w:val="00A54EB0"/>
    <w:rsid w:val="00A54FFC"/>
    <w:rsid w:val="00A55E7C"/>
    <w:rsid w:val="00A57DAD"/>
    <w:rsid w:val="00A60429"/>
    <w:rsid w:val="00A60B3D"/>
    <w:rsid w:val="00A60E64"/>
    <w:rsid w:val="00A6349B"/>
    <w:rsid w:val="00A64D61"/>
    <w:rsid w:val="00A64F08"/>
    <w:rsid w:val="00A65B39"/>
    <w:rsid w:val="00A66003"/>
    <w:rsid w:val="00A6729F"/>
    <w:rsid w:val="00A712DC"/>
    <w:rsid w:val="00A71D14"/>
    <w:rsid w:val="00A7296D"/>
    <w:rsid w:val="00A740D6"/>
    <w:rsid w:val="00A74D03"/>
    <w:rsid w:val="00A75B03"/>
    <w:rsid w:val="00A75EA0"/>
    <w:rsid w:val="00A7691A"/>
    <w:rsid w:val="00A82D94"/>
    <w:rsid w:val="00A82DA1"/>
    <w:rsid w:val="00A835A9"/>
    <w:rsid w:val="00A8523F"/>
    <w:rsid w:val="00A87C7C"/>
    <w:rsid w:val="00A945D1"/>
    <w:rsid w:val="00A94A5C"/>
    <w:rsid w:val="00A95E58"/>
    <w:rsid w:val="00A963AC"/>
    <w:rsid w:val="00AA0A42"/>
    <w:rsid w:val="00AA1177"/>
    <w:rsid w:val="00AA1E37"/>
    <w:rsid w:val="00AA589A"/>
    <w:rsid w:val="00AA63EF"/>
    <w:rsid w:val="00AA7729"/>
    <w:rsid w:val="00AB0B4F"/>
    <w:rsid w:val="00AB0BF8"/>
    <w:rsid w:val="00AB1F7D"/>
    <w:rsid w:val="00AB457D"/>
    <w:rsid w:val="00AC1C3E"/>
    <w:rsid w:val="00AC2AC4"/>
    <w:rsid w:val="00AC34FF"/>
    <w:rsid w:val="00AC4146"/>
    <w:rsid w:val="00AC4345"/>
    <w:rsid w:val="00AC596C"/>
    <w:rsid w:val="00AC5DC4"/>
    <w:rsid w:val="00AC77CA"/>
    <w:rsid w:val="00AD0371"/>
    <w:rsid w:val="00AD0F0C"/>
    <w:rsid w:val="00AD1DBF"/>
    <w:rsid w:val="00AD2BA8"/>
    <w:rsid w:val="00AD2CDD"/>
    <w:rsid w:val="00AD3837"/>
    <w:rsid w:val="00AD76D6"/>
    <w:rsid w:val="00AD793A"/>
    <w:rsid w:val="00AE1F19"/>
    <w:rsid w:val="00AE2D69"/>
    <w:rsid w:val="00AE2F99"/>
    <w:rsid w:val="00AE3B2A"/>
    <w:rsid w:val="00AE3D29"/>
    <w:rsid w:val="00AE77E2"/>
    <w:rsid w:val="00AE785C"/>
    <w:rsid w:val="00AE79FD"/>
    <w:rsid w:val="00AF4764"/>
    <w:rsid w:val="00AF562C"/>
    <w:rsid w:val="00AF63FE"/>
    <w:rsid w:val="00AF7644"/>
    <w:rsid w:val="00B0051B"/>
    <w:rsid w:val="00B00D0B"/>
    <w:rsid w:val="00B018F2"/>
    <w:rsid w:val="00B01C0E"/>
    <w:rsid w:val="00B02F6D"/>
    <w:rsid w:val="00B05154"/>
    <w:rsid w:val="00B0587C"/>
    <w:rsid w:val="00B05D5C"/>
    <w:rsid w:val="00B063A9"/>
    <w:rsid w:val="00B06B88"/>
    <w:rsid w:val="00B0715A"/>
    <w:rsid w:val="00B07408"/>
    <w:rsid w:val="00B07A8D"/>
    <w:rsid w:val="00B1037D"/>
    <w:rsid w:val="00B115EA"/>
    <w:rsid w:val="00B207DB"/>
    <w:rsid w:val="00B2147C"/>
    <w:rsid w:val="00B2369E"/>
    <w:rsid w:val="00B23B4D"/>
    <w:rsid w:val="00B25836"/>
    <w:rsid w:val="00B25D42"/>
    <w:rsid w:val="00B26CAA"/>
    <w:rsid w:val="00B26D4F"/>
    <w:rsid w:val="00B30009"/>
    <w:rsid w:val="00B317BA"/>
    <w:rsid w:val="00B31B5F"/>
    <w:rsid w:val="00B36111"/>
    <w:rsid w:val="00B404D2"/>
    <w:rsid w:val="00B40B38"/>
    <w:rsid w:val="00B41C24"/>
    <w:rsid w:val="00B43BDB"/>
    <w:rsid w:val="00B452A0"/>
    <w:rsid w:val="00B4593F"/>
    <w:rsid w:val="00B46614"/>
    <w:rsid w:val="00B55379"/>
    <w:rsid w:val="00B569A1"/>
    <w:rsid w:val="00B6227B"/>
    <w:rsid w:val="00B63109"/>
    <w:rsid w:val="00B63750"/>
    <w:rsid w:val="00B64243"/>
    <w:rsid w:val="00B67BE0"/>
    <w:rsid w:val="00B726CF"/>
    <w:rsid w:val="00B73691"/>
    <w:rsid w:val="00B753E2"/>
    <w:rsid w:val="00B761F1"/>
    <w:rsid w:val="00B762D0"/>
    <w:rsid w:val="00B77048"/>
    <w:rsid w:val="00B77533"/>
    <w:rsid w:val="00B8294B"/>
    <w:rsid w:val="00B829B3"/>
    <w:rsid w:val="00B82D7C"/>
    <w:rsid w:val="00B83FD7"/>
    <w:rsid w:val="00B844DD"/>
    <w:rsid w:val="00B87E3E"/>
    <w:rsid w:val="00B87FAD"/>
    <w:rsid w:val="00B903A3"/>
    <w:rsid w:val="00B904D6"/>
    <w:rsid w:val="00B910AD"/>
    <w:rsid w:val="00B933D4"/>
    <w:rsid w:val="00B9401D"/>
    <w:rsid w:val="00B941B0"/>
    <w:rsid w:val="00B942FF"/>
    <w:rsid w:val="00B94BEB"/>
    <w:rsid w:val="00B96A73"/>
    <w:rsid w:val="00B97883"/>
    <w:rsid w:val="00BA2240"/>
    <w:rsid w:val="00BA4E58"/>
    <w:rsid w:val="00BA6805"/>
    <w:rsid w:val="00BA6A6D"/>
    <w:rsid w:val="00BB155C"/>
    <w:rsid w:val="00BB15D3"/>
    <w:rsid w:val="00BB2288"/>
    <w:rsid w:val="00BB241A"/>
    <w:rsid w:val="00BB480D"/>
    <w:rsid w:val="00BB4A93"/>
    <w:rsid w:val="00BB683B"/>
    <w:rsid w:val="00BB6EC8"/>
    <w:rsid w:val="00BB6FD8"/>
    <w:rsid w:val="00BB7A11"/>
    <w:rsid w:val="00BC0469"/>
    <w:rsid w:val="00BC129A"/>
    <w:rsid w:val="00BC3A1F"/>
    <w:rsid w:val="00BC3C6C"/>
    <w:rsid w:val="00BC3FC6"/>
    <w:rsid w:val="00BC4C87"/>
    <w:rsid w:val="00BC575F"/>
    <w:rsid w:val="00BC61B1"/>
    <w:rsid w:val="00BC7917"/>
    <w:rsid w:val="00BD0259"/>
    <w:rsid w:val="00BD38DF"/>
    <w:rsid w:val="00BD3F44"/>
    <w:rsid w:val="00BD423C"/>
    <w:rsid w:val="00BD5355"/>
    <w:rsid w:val="00BE07EC"/>
    <w:rsid w:val="00BE126B"/>
    <w:rsid w:val="00BE35CD"/>
    <w:rsid w:val="00BE3AA9"/>
    <w:rsid w:val="00BE3EBC"/>
    <w:rsid w:val="00BE4B2C"/>
    <w:rsid w:val="00BE513C"/>
    <w:rsid w:val="00BE53FF"/>
    <w:rsid w:val="00BE7A67"/>
    <w:rsid w:val="00BE7B8A"/>
    <w:rsid w:val="00BF1507"/>
    <w:rsid w:val="00BF26EA"/>
    <w:rsid w:val="00BF3800"/>
    <w:rsid w:val="00BF633B"/>
    <w:rsid w:val="00BF6A0D"/>
    <w:rsid w:val="00BF74F0"/>
    <w:rsid w:val="00C00706"/>
    <w:rsid w:val="00C0082C"/>
    <w:rsid w:val="00C047EB"/>
    <w:rsid w:val="00C054CB"/>
    <w:rsid w:val="00C100A6"/>
    <w:rsid w:val="00C14FC6"/>
    <w:rsid w:val="00C1690E"/>
    <w:rsid w:val="00C17B83"/>
    <w:rsid w:val="00C20229"/>
    <w:rsid w:val="00C20A46"/>
    <w:rsid w:val="00C20F22"/>
    <w:rsid w:val="00C22178"/>
    <w:rsid w:val="00C22495"/>
    <w:rsid w:val="00C22C17"/>
    <w:rsid w:val="00C2394D"/>
    <w:rsid w:val="00C2560D"/>
    <w:rsid w:val="00C25F61"/>
    <w:rsid w:val="00C278B3"/>
    <w:rsid w:val="00C3380E"/>
    <w:rsid w:val="00C35722"/>
    <w:rsid w:val="00C35942"/>
    <w:rsid w:val="00C35AC0"/>
    <w:rsid w:val="00C35B17"/>
    <w:rsid w:val="00C35B23"/>
    <w:rsid w:val="00C35D65"/>
    <w:rsid w:val="00C362AD"/>
    <w:rsid w:val="00C40731"/>
    <w:rsid w:val="00C41A12"/>
    <w:rsid w:val="00C42373"/>
    <w:rsid w:val="00C426C2"/>
    <w:rsid w:val="00C42ECB"/>
    <w:rsid w:val="00C43755"/>
    <w:rsid w:val="00C455A7"/>
    <w:rsid w:val="00C45C9A"/>
    <w:rsid w:val="00C466FF"/>
    <w:rsid w:val="00C47B59"/>
    <w:rsid w:val="00C54551"/>
    <w:rsid w:val="00C54A55"/>
    <w:rsid w:val="00C54FD4"/>
    <w:rsid w:val="00C551B4"/>
    <w:rsid w:val="00C55374"/>
    <w:rsid w:val="00C5687A"/>
    <w:rsid w:val="00C57721"/>
    <w:rsid w:val="00C6003E"/>
    <w:rsid w:val="00C60E39"/>
    <w:rsid w:val="00C63225"/>
    <w:rsid w:val="00C65A1A"/>
    <w:rsid w:val="00C65F44"/>
    <w:rsid w:val="00C66644"/>
    <w:rsid w:val="00C7146E"/>
    <w:rsid w:val="00C7175C"/>
    <w:rsid w:val="00C731BA"/>
    <w:rsid w:val="00C73392"/>
    <w:rsid w:val="00C74115"/>
    <w:rsid w:val="00C75F5F"/>
    <w:rsid w:val="00C76827"/>
    <w:rsid w:val="00C77904"/>
    <w:rsid w:val="00C80529"/>
    <w:rsid w:val="00C82A87"/>
    <w:rsid w:val="00C86A17"/>
    <w:rsid w:val="00C87424"/>
    <w:rsid w:val="00C875DA"/>
    <w:rsid w:val="00C9059B"/>
    <w:rsid w:val="00C92C1F"/>
    <w:rsid w:val="00C93407"/>
    <w:rsid w:val="00C940C8"/>
    <w:rsid w:val="00C94832"/>
    <w:rsid w:val="00C94EE4"/>
    <w:rsid w:val="00C95D0F"/>
    <w:rsid w:val="00C961B8"/>
    <w:rsid w:val="00CA1EE9"/>
    <w:rsid w:val="00CA23B2"/>
    <w:rsid w:val="00CA2A76"/>
    <w:rsid w:val="00CA339C"/>
    <w:rsid w:val="00CA4719"/>
    <w:rsid w:val="00CA6449"/>
    <w:rsid w:val="00CA6B80"/>
    <w:rsid w:val="00CA7667"/>
    <w:rsid w:val="00CA79E2"/>
    <w:rsid w:val="00CB3BC5"/>
    <w:rsid w:val="00CB4878"/>
    <w:rsid w:val="00CB5580"/>
    <w:rsid w:val="00CC1081"/>
    <w:rsid w:val="00CC19D4"/>
    <w:rsid w:val="00CC28C6"/>
    <w:rsid w:val="00CC4CA4"/>
    <w:rsid w:val="00CC606B"/>
    <w:rsid w:val="00CC66D9"/>
    <w:rsid w:val="00CC6F3B"/>
    <w:rsid w:val="00CD0677"/>
    <w:rsid w:val="00CD06D0"/>
    <w:rsid w:val="00CD0713"/>
    <w:rsid w:val="00CD0DDF"/>
    <w:rsid w:val="00CD1889"/>
    <w:rsid w:val="00CD198D"/>
    <w:rsid w:val="00CD29D9"/>
    <w:rsid w:val="00CD33D1"/>
    <w:rsid w:val="00CD36AF"/>
    <w:rsid w:val="00CD42CD"/>
    <w:rsid w:val="00CD547F"/>
    <w:rsid w:val="00CD5E36"/>
    <w:rsid w:val="00CD6144"/>
    <w:rsid w:val="00CE03A7"/>
    <w:rsid w:val="00CE127A"/>
    <w:rsid w:val="00CE309C"/>
    <w:rsid w:val="00CF06D3"/>
    <w:rsid w:val="00CF104C"/>
    <w:rsid w:val="00CF1988"/>
    <w:rsid w:val="00CF1B51"/>
    <w:rsid w:val="00CF1C85"/>
    <w:rsid w:val="00CF2831"/>
    <w:rsid w:val="00CF2DB0"/>
    <w:rsid w:val="00CF44F4"/>
    <w:rsid w:val="00CF53A5"/>
    <w:rsid w:val="00CF68F1"/>
    <w:rsid w:val="00CF6D23"/>
    <w:rsid w:val="00CF6E65"/>
    <w:rsid w:val="00CF7425"/>
    <w:rsid w:val="00D010A5"/>
    <w:rsid w:val="00D0124E"/>
    <w:rsid w:val="00D01A0A"/>
    <w:rsid w:val="00D01B52"/>
    <w:rsid w:val="00D038B3"/>
    <w:rsid w:val="00D055E3"/>
    <w:rsid w:val="00D10067"/>
    <w:rsid w:val="00D10817"/>
    <w:rsid w:val="00D1148C"/>
    <w:rsid w:val="00D11F13"/>
    <w:rsid w:val="00D12C3E"/>
    <w:rsid w:val="00D14EC0"/>
    <w:rsid w:val="00D16A53"/>
    <w:rsid w:val="00D1795E"/>
    <w:rsid w:val="00D17BA5"/>
    <w:rsid w:val="00D213CA"/>
    <w:rsid w:val="00D22515"/>
    <w:rsid w:val="00D237B0"/>
    <w:rsid w:val="00D23DDC"/>
    <w:rsid w:val="00D25089"/>
    <w:rsid w:val="00D253BD"/>
    <w:rsid w:val="00D256F5"/>
    <w:rsid w:val="00D2656F"/>
    <w:rsid w:val="00D273DB"/>
    <w:rsid w:val="00D30DF3"/>
    <w:rsid w:val="00D3307F"/>
    <w:rsid w:val="00D3379C"/>
    <w:rsid w:val="00D35919"/>
    <w:rsid w:val="00D35B18"/>
    <w:rsid w:val="00D35F0D"/>
    <w:rsid w:val="00D37410"/>
    <w:rsid w:val="00D4014D"/>
    <w:rsid w:val="00D40858"/>
    <w:rsid w:val="00D41FC3"/>
    <w:rsid w:val="00D43659"/>
    <w:rsid w:val="00D43B05"/>
    <w:rsid w:val="00D45722"/>
    <w:rsid w:val="00D45C0C"/>
    <w:rsid w:val="00D46499"/>
    <w:rsid w:val="00D502E5"/>
    <w:rsid w:val="00D50AA8"/>
    <w:rsid w:val="00D50C02"/>
    <w:rsid w:val="00D51759"/>
    <w:rsid w:val="00D53B13"/>
    <w:rsid w:val="00D55D20"/>
    <w:rsid w:val="00D563B7"/>
    <w:rsid w:val="00D565AB"/>
    <w:rsid w:val="00D604D9"/>
    <w:rsid w:val="00D612A5"/>
    <w:rsid w:val="00D61C99"/>
    <w:rsid w:val="00D61E22"/>
    <w:rsid w:val="00D61E2E"/>
    <w:rsid w:val="00D62E9C"/>
    <w:rsid w:val="00D6365B"/>
    <w:rsid w:val="00D66A63"/>
    <w:rsid w:val="00D67AE4"/>
    <w:rsid w:val="00D67AFC"/>
    <w:rsid w:val="00D67B76"/>
    <w:rsid w:val="00D71F03"/>
    <w:rsid w:val="00D71FB1"/>
    <w:rsid w:val="00D72443"/>
    <w:rsid w:val="00D7372D"/>
    <w:rsid w:val="00D843CC"/>
    <w:rsid w:val="00D84DB8"/>
    <w:rsid w:val="00D85A19"/>
    <w:rsid w:val="00D85DA3"/>
    <w:rsid w:val="00D8616E"/>
    <w:rsid w:val="00D86734"/>
    <w:rsid w:val="00D87117"/>
    <w:rsid w:val="00D9366D"/>
    <w:rsid w:val="00D939AB"/>
    <w:rsid w:val="00D956D6"/>
    <w:rsid w:val="00D958AC"/>
    <w:rsid w:val="00D95DF8"/>
    <w:rsid w:val="00D95EAB"/>
    <w:rsid w:val="00DA0D39"/>
    <w:rsid w:val="00DA3A0E"/>
    <w:rsid w:val="00DA5D93"/>
    <w:rsid w:val="00DA7672"/>
    <w:rsid w:val="00DB0140"/>
    <w:rsid w:val="00DB084C"/>
    <w:rsid w:val="00DB09A6"/>
    <w:rsid w:val="00DB16AB"/>
    <w:rsid w:val="00DB1BA1"/>
    <w:rsid w:val="00DB2D64"/>
    <w:rsid w:val="00DB46A3"/>
    <w:rsid w:val="00DB48F8"/>
    <w:rsid w:val="00DB5F85"/>
    <w:rsid w:val="00DB643E"/>
    <w:rsid w:val="00DB6C58"/>
    <w:rsid w:val="00DB6F9C"/>
    <w:rsid w:val="00DB78DB"/>
    <w:rsid w:val="00DC1750"/>
    <w:rsid w:val="00DC37B3"/>
    <w:rsid w:val="00DC3D09"/>
    <w:rsid w:val="00DC46F6"/>
    <w:rsid w:val="00DC5325"/>
    <w:rsid w:val="00DC5E2D"/>
    <w:rsid w:val="00DC6130"/>
    <w:rsid w:val="00DC6DC8"/>
    <w:rsid w:val="00DC6F29"/>
    <w:rsid w:val="00DC7A2E"/>
    <w:rsid w:val="00DC7DAD"/>
    <w:rsid w:val="00DD3375"/>
    <w:rsid w:val="00DD368A"/>
    <w:rsid w:val="00DD3DD3"/>
    <w:rsid w:val="00DD4F06"/>
    <w:rsid w:val="00DD5E11"/>
    <w:rsid w:val="00DD5E3D"/>
    <w:rsid w:val="00DD730B"/>
    <w:rsid w:val="00DE33D1"/>
    <w:rsid w:val="00DE43FA"/>
    <w:rsid w:val="00DE54AD"/>
    <w:rsid w:val="00DF0867"/>
    <w:rsid w:val="00DF0A3C"/>
    <w:rsid w:val="00DF1E2C"/>
    <w:rsid w:val="00DF4AB8"/>
    <w:rsid w:val="00DF4BEC"/>
    <w:rsid w:val="00DF5615"/>
    <w:rsid w:val="00DF699E"/>
    <w:rsid w:val="00DF7593"/>
    <w:rsid w:val="00E004FA"/>
    <w:rsid w:val="00E01F66"/>
    <w:rsid w:val="00E031FB"/>
    <w:rsid w:val="00E03206"/>
    <w:rsid w:val="00E04C03"/>
    <w:rsid w:val="00E07A2B"/>
    <w:rsid w:val="00E07B21"/>
    <w:rsid w:val="00E16128"/>
    <w:rsid w:val="00E16814"/>
    <w:rsid w:val="00E2078C"/>
    <w:rsid w:val="00E20B6E"/>
    <w:rsid w:val="00E21301"/>
    <w:rsid w:val="00E21A7D"/>
    <w:rsid w:val="00E231B9"/>
    <w:rsid w:val="00E23654"/>
    <w:rsid w:val="00E23834"/>
    <w:rsid w:val="00E24FD2"/>
    <w:rsid w:val="00E254C6"/>
    <w:rsid w:val="00E25CB7"/>
    <w:rsid w:val="00E25D14"/>
    <w:rsid w:val="00E302C9"/>
    <w:rsid w:val="00E3057D"/>
    <w:rsid w:val="00E310BD"/>
    <w:rsid w:val="00E31CE9"/>
    <w:rsid w:val="00E321F4"/>
    <w:rsid w:val="00E3493E"/>
    <w:rsid w:val="00E369EC"/>
    <w:rsid w:val="00E36AC5"/>
    <w:rsid w:val="00E36ACA"/>
    <w:rsid w:val="00E37FDC"/>
    <w:rsid w:val="00E414D1"/>
    <w:rsid w:val="00E431AB"/>
    <w:rsid w:val="00E443BA"/>
    <w:rsid w:val="00E4478A"/>
    <w:rsid w:val="00E464C9"/>
    <w:rsid w:val="00E504BA"/>
    <w:rsid w:val="00E508B8"/>
    <w:rsid w:val="00E51466"/>
    <w:rsid w:val="00E53D7B"/>
    <w:rsid w:val="00E56B34"/>
    <w:rsid w:val="00E577AB"/>
    <w:rsid w:val="00E601C7"/>
    <w:rsid w:val="00E60AEE"/>
    <w:rsid w:val="00E60E55"/>
    <w:rsid w:val="00E61253"/>
    <w:rsid w:val="00E614DC"/>
    <w:rsid w:val="00E630EF"/>
    <w:rsid w:val="00E6356A"/>
    <w:rsid w:val="00E64857"/>
    <w:rsid w:val="00E650BB"/>
    <w:rsid w:val="00E65D8D"/>
    <w:rsid w:val="00E66674"/>
    <w:rsid w:val="00E6677F"/>
    <w:rsid w:val="00E6744B"/>
    <w:rsid w:val="00E72B75"/>
    <w:rsid w:val="00E7366B"/>
    <w:rsid w:val="00E738D6"/>
    <w:rsid w:val="00E739A7"/>
    <w:rsid w:val="00E73F44"/>
    <w:rsid w:val="00E73FF2"/>
    <w:rsid w:val="00E7589B"/>
    <w:rsid w:val="00E77C00"/>
    <w:rsid w:val="00E80801"/>
    <w:rsid w:val="00E81007"/>
    <w:rsid w:val="00E8105B"/>
    <w:rsid w:val="00E85D75"/>
    <w:rsid w:val="00E86130"/>
    <w:rsid w:val="00E92CEA"/>
    <w:rsid w:val="00E95C93"/>
    <w:rsid w:val="00E95EC1"/>
    <w:rsid w:val="00E96230"/>
    <w:rsid w:val="00E96392"/>
    <w:rsid w:val="00EA068C"/>
    <w:rsid w:val="00EA18A0"/>
    <w:rsid w:val="00EA3F12"/>
    <w:rsid w:val="00EA3F4B"/>
    <w:rsid w:val="00EA5A70"/>
    <w:rsid w:val="00EA6982"/>
    <w:rsid w:val="00EA702E"/>
    <w:rsid w:val="00EA7D80"/>
    <w:rsid w:val="00EA7E98"/>
    <w:rsid w:val="00EB15BA"/>
    <w:rsid w:val="00EB3EE0"/>
    <w:rsid w:val="00EB56A5"/>
    <w:rsid w:val="00EC1BB6"/>
    <w:rsid w:val="00EC3502"/>
    <w:rsid w:val="00EC4393"/>
    <w:rsid w:val="00EC64F0"/>
    <w:rsid w:val="00EC7E2F"/>
    <w:rsid w:val="00ED1CA9"/>
    <w:rsid w:val="00ED4A48"/>
    <w:rsid w:val="00EE06ED"/>
    <w:rsid w:val="00EE2056"/>
    <w:rsid w:val="00EE397F"/>
    <w:rsid w:val="00EE3C07"/>
    <w:rsid w:val="00EE5093"/>
    <w:rsid w:val="00EE51D6"/>
    <w:rsid w:val="00EE5723"/>
    <w:rsid w:val="00EE605B"/>
    <w:rsid w:val="00EE6D2E"/>
    <w:rsid w:val="00EF1177"/>
    <w:rsid w:val="00EF2C44"/>
    <w:rsid w:val="00EF42F3"/>
    <w:rsid w:val="00EF46C1"/>
    <w:rsid w:val="00EF4A87"/>
    <w:rsid w:val="00EF608B"/>
    <w:rsid w:val="00EF73F7"/>
    <w:rsid w:val="00F010E9"/>
    <w:rsid w:val="00F01E18"/>
    <w:rsid w:val="00F0245C"/>
    <w:rsid w:val="00F02FE3"/>
    <w:rsid w:val="00F030F0"/>
    <w:rsid w:val="00F0374B"/>
    <w:rsid w:val="00F03F5D"/>
    <w:rsid w:val="00F04E06"/>
    <w:rsid w:val="00F04F5F"/>
    <w:rsid w:val="00F05C8A"/>
    <w:rsid w:val="00F06E01"/>
    <w:rsid w:val="00F06E4E"/>
    <w:rsid w:val="00F105A4"/>
    <w:rsid w:val="00F11F2A"/>
    <w:rsid w:val="00F12371"/>
    <w:rsid w:val="00F12905"/>
    <w:rsid w:val="00F13ED5"/>
    <w:rsid w:val="00F13FFE"/>
    <w:rsid w:val="00F146C0"/>
    <w:rsid w:val="00F15EEB"/>
    <w:rsid w:val="00F170E0"/>
    <w:rsid w:val="00F226FC"/>
    <w:rsid w:val="00F227CE"/>
    <w:rsid w:val="00F25250"/>
    <w:rsid w:val="00F252BC"/>
    <w:rsid w:val="00F25590"/>
    <w:rsid w:val="00F31368"/>
    <w:rsid w:val="00F32679"/>
    <w:rsid w:val="00F37AB9"/>
    <w:rsid w:val="00F37E89"/>
    <w:rsid w:val="00F427BE"/>
    <w:rsid w:val="00F44538"/>
    <w:rsid w:val="00F450AC"/>
    <w:rsid w:val="00F45CE7"/>
    <w:rsid w:val="00F45D03"/>
    <w:rsid w:val="00F4618F"/>
    <w:rsid w:val="00F50443"/>
    <w:rsid w:val="00F53249"/>
    <w:rsid w:val="00F5345D"/>
    <w:rsid w:val="00F53802"/>
    <w:rsid w:val="00F5518D"/>
    <w:rsid w:val="00F55C6B"/>
    <w:rsid w:val="00F623A2"/>
    <w:rsid w:val="00F62BD3"/>
    <w:rsid w:val="00F6301F"/>
    <w:rsid w:val="00F63E69"/>
    <w:rsid w:val="00F64655"/>
    <w:rsid w:val="00F66279"/>
    <w:rsid w:val="00F665E2"/>
    <w:rsid w:val="00F6789B"/>
    <w:rsid w:val="00F713F3"/>
    <w:rsid w:val="00F74E27"/>
    <w:rsid w:val="00F751E9"/>
    <w:rsid w:val="00F75208"/>
    <w:rsid w:val="00F75EBA"/>
    <w:rsid w:val="00F80272"/>
    <w:rsid w:val="00F8114B"/>
    <w:rsid w:val="00F8173B"/>
    <w:rsid w:val="00F81A93"/>
    <w:rsid w:val="00F82A9E"/>
    <w:rsid w:val="00F86BD8"/>
    <w:rsid w:val="00F91152"/>
    <w:rsid w:val="00F92229"/>
    <w:rsid w:val="00F960FB"/>
    <w:rsid w:val="00F964DF"/>
    <w:rsid w:val="00F97014"/>
    <w:rsid w:val="00F97488"/>
    <w:rsid w:val="00FA22C2"/>
    <w:rsid w:val="00FA2BFE"/>
    <w:rsid w:val="00FA342A"/>
    <w:rsid w:val="00FA6439"/>
    <w:rsid w:val="00FA6E75"/>
    <w:rsid w:val="00FB0C76"/>
    <w:rsid w:val="00FB2052"/>
    <w:rsid w:val="00FB2C5D"/>
    <w:rsid w:val="00FB46EC"/>
    <w:rsid w:val="00FB5100"/>
    <w:rsid w:val="00FB7373"/>
    <w:rsid w:val="00FC0145"/>
    <w:rsid w:val="00FC124D"/>
    <w:rsid w:val="00FC2F2D"/>
    <w:rsid w:val="00FC395E"/>
    <w:rsid w:val="00FC462F"/>
    <w:rsid w:val="00FC631B"/>
    <w:rsid w:val="00FC6B73"/>
    <w:rsid w:val="00FC76C3"/>
    <w:rsid w:val="00FD23B9"/>
    <w:rsid w:val="00FD2B12"/>
    <w:rsid w:val="00FD353E"/>
    <w:rsid w:val="00FD4541"/>
    <w:rsid w:val="00FD5FBF"/>
    <w:rsid w:val="00FD7A5A"/>
    <w:rsid w:val="00FE1AB3"/>
    <w:rsid w:val="00FE2F53"/>
    <w:rsid w:val="00FE33E1"/>
    <w:rsid w:val="00FE3D2A"/>
    <w:rsid w:val="00FE415E"/>
    <w:rsid w:val="00FE44BD"/>
    <w:rsid w:val="00FE4FD3"/>
    <w:rsid w:val="00FE5656"/>
    <w:rsid w:val="00FF1549"/>
    <w:rsid w:val="00FF475B"/>
    <w:rsid w:val="00FF6641"/>
    <w:rsid w:val="00FF7B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0820"/>
  <w15:docId w15:val="{6DDE9F57-113A-4A6A-9DE6-6519BD1C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EGW Normal"/>
    <w:qFormat/>
    <w:rsid w:val="002676B0"/>
    <w:pPr>
      <w:spacing w:before="120" w:after="120"/>
    </w:pPr>
    <w:rPr>
      <w:rFonts w:ascii="Roboto" w:hAnsi="Roboto" w:cs="Arial"/>
      <w:sz w:val="22"/>
      <w:szCs w:val="22"/>
      <w:lang w:val="en-GB"/>
    </w:rPr>
  </w:style>
  <w:style w:type="paragraph" w:styleId="Heading1">
    <w:name w:val="heading 1"/>
    <w:basedOn w:val="Normal"/>
    <w:next w:val="Normal"/>
    <w:uiPriority w:val="99"/>
    <w:rsid w:val="00256ED1"/>
    <w:pPr>
      <w:keepNext/>
      <w:numPr>
        <w:numId w:val="2"/>
      </w:numPr>
      <w:tabs>
        <w:tab w:val="left" w:pos="1701"/>
      </w:tabs>
      <w:autoSpaceDE w:val="0"/>
      <w:autoSpaceDN w:val="0"/>
      <w:adjustRightInd w:val="0"/>
      <w:spacing w:after="240"/>
      <w:ind w:left="357" w:hanging="357"/>
      <w:outlineLvl w:val="0"/>
    </w:pPr>
    <w:rPr>
      <w:b/>
      <w:color w:val="9FCB3B"/>
      <w:sz w:val="28"/>
      <w:szCs w:val="28"/>
    </w:rPr>
  </w:style>
  <w:style w:type="paragraph" w:styleId="Heading2">
    <w:name w:val="heading 2"/>
    <w:basedOn w:val="Normal"/>
    <w:next w:val="Normal"/>
    <w:uiPriority w:val="99"/>
    <w:rsid w:val="00256ED1"/>
    <w:pPr>
      <w:keepNext/>
      <w:numPr>
        <w:ilvl w:val="1"/>
        <w:numId w:val="2"/>
      </w:numPr>
      <w:spacing w:before="240" w:after="240"/>
      <w:outlineLvl w:val="1"/>
    </w:pPr>
    <w:rPr>
      <w:b/>
      <w:bCs/>
      <w:iCs/>
      <w:color w:val="9FCB3B"/>
      <w:sz w:val="24"/>
    </w:rPr>
  </w:style>
  <w:style w:type="paragraph" w:styleId="Heading3">
    <w:name w:val="heading 3"/>
    <w:basedOn w:val="Normal"/>
    <w:next w:val="Normal"/>
    <w:uiPriority w:val="99"/>
    <w:rsid w:val="00256ED1"/>
    <w:pPr>
      <w:keepNext/>
      <w:numPr>
        <w:ilvl w:val="2"/>
        <w:numId w:val="2"/>
      </w:numPr>
      <w:autoSpaceDE w:val="0"/>
      <w:autoSpaceDN w:val="0"/>
      <w:adjustRightInd w:val="0"/>
      <w:outlineLvl w:val="2"/>
    </w:pPr>
    <w:rPr>
      <w:b/>
      <w:bCs/>
      <w:color w:val="9FCB3B"/>
    </w:rPr>
  </w:style>
  <w:style w:type="paragraph" w:styleId="Heading4">
    <w:name w:val="heading 4"/>
    <w:basedOn w:val="Normal"/>
    <w:next w:val="Normal"/>
    <w:uiPriority w:val="99"/>
    <w:rsid w:val="004450A4"/>
    <w:pPr>
      <w:keepNext/>
      <w:autoSpaceDE w:val="0"/>
      <w:autoSpaceDN w:val="0"/>
      <w:adjustRightInd w:val="0"/>
      <w:outlineLvl w:val="3"/>
    </w:pPr>
    <w:rPr>
      <w:b/>
      <w:color w:val="9FCB3B"/>
      <w:sz w:val="28"/>
      <w:szCs w:val="28"/>
    </w:rPr>
  </w:style>
  <w:style w:type="paragraph" w:styleId="Heading5">
    <w:name w:val="heading 5"/>
    <w:basedOn w:val="Normal"/>
    <w:next w:val="Normal"/>
    <w:uiPriority w:val="99"/>
    <w:rsid w:val="00486E79"/>
    <w:pPr>
      <w:keepNext/>
      <w:autoSpaceDE w:val="0"/>
      <w:autoSpaceDN w:val="0"/>
      <w:adjustRightInd w:val="0"/>
      <w:outlineLvl w:val="4"/>
    </w:pPr>
    <w:rPr>
      <w:b/>
      <w:color w:val="000000"/>
      <w:sz w:val="32"/>
    </w:rPr>
  </w:style>
  <w:style w:type="paragraph" w:styleId="Heading6">
    <w:name w:val="heading 6"/>
    <w:basedOn w:val="Normal"/>
    <w:next w:val="Normal"/>
    <w:uiPriority w:val="99"/>
    <w:rsid w:val="00486E79"/>
    <w:pPr>
      <w:keepNext/>
      <w:suppressAutoHyphens/>
      <w:autoSpaceDE w:val="0"/>
      <w:autoSpaceDN w:val="0"/>
      <w:adjustRightInd w:val="0"/>
      <w:outlineLvl w:val="5"/>
    </w:pPr>
    <w:rPr>
      <w:b/>
      <w:color w:val="000000"/>
    </w:rPr>
  </w:style>
  <w:style w:type="paragraph" w:styleId="Heading7">
    <w:name w:val="heading 7"/>
    <w:basedOn w:val="Normal"/>
    <w:next w:val="Normal"/>
    <w:uiPriority w:val="99"/>
    <w:rsid w:val="00486E79"/>
    <w:pPr>
      <w:keepNext/>
      <w:suppressAutoHyphens/>
      <w:autoSpaceDE w:val="0"/>
      <w:autoSpaceDN w:val="0"/>
      <w:adjustRightInd w:val="0"/>
      <w:spacing w:before="97" w:after="58"/>
      <w:outlineLvl w:val="6"/>
    </w:pPr>
    <w:rPr>
      <w:b/>
      <w:color w:val="000000"/>
      <w:sz w:val="20"/>
    </w:rPr>
  </w:style>
  <w:style w:type="paragraph" w:styleId="Heading8">
    <w:name w:val="heading 8"/>
    <w:basedOn w:val="Normal"/>
    <w:next w:val="Normal"/>
    <w:uiPriority w:val="99"/>
    <w:rsid w:val="00486E79"/>
    <w:pPr>
      <w:keepNext/>
      <w:autoSpaceDE w:val="0"/>
      <w:autoSpaceDN w:val="0"/>
      <w:adjustRightInd w:val="0"/>
      <w:jc w:val="center"/>
      <w:outlineLvl w:val="7"/>
    </w:pPr>
    <w:rPr>
      <w:b/>
      <w:color w:val="000000"/>
      <w:sz w:val="28"/>
    </w:rPr>
  </w:style>
  <w:style w:type="paragraph" w:styleId="Heading9">
    <w:name w:val="heading 9"/>
    <w:basedOn w:val="Normal"/>
    <w:next w:val="Normal"/>
    <w:uiPriority w:val="99"/>
    <w:rsid w:val="00486E79"/>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GWHeadingTOC">
    <w:name w:val="EGW Heading TOC"/>
    <w:basedOn w:val="EGWHeadingColophon"/>
    <w:qFormat/>
    <w:rsid w:val="00807552"/>
  </w:style>
  <w:style w:type="character" w:styleId="Hyperlink">
    <w:name w:val="Hyperlink"/>
    <w:basedOn w:val="DefaultParagraphFont"/>
    <w:uiPriority w:val="99"/>
    <w:unhideWhenUsed/>
    <w:rsid w:val="00A835A9"/>
    <w:rPr>
      <w:color w:val="auto"/>
      <w:u w:val="none"/>
    </w:rPr>
  </w:style>
  <w:style w:type="character" w:styleId="EndnoteReference">
    <w:name w:val="endnote reference"/>
    <w:uiPriority w:val="99"/>
    <w:unhideWhenUsed/>
    <w:rsid w:val="00507C95"/>
    <w:rPr>
      <w:rFonts w:ascii="Roboto" w:hAnsi="Roboto" w:cs="Times New Roman"/>
      <w:vertAlign w:val="superscript"/>
      <w:lang w:val="en-GB"/>
    </w:rPr>
  </w:style>
  <w:style w:type="paragraph" w:styleId="EndnoteText">
    <w:name w:val="endnote text"/>
    <w:basedOn w:val="Normal"/>
    <w:link w:val="EndnoteTextChar"/>
    <w:uiPriority w:val="99"/>
    <w:unhideWhenUsed/>
    <w:rsid w:val="001C0246"/>
    <w:pPr>
      <w:tabs>
        <w:tab w:val="left" w:pos="454"/>
      </w:tabs>
      <w:ind w:left="454" w:hanging="454"/>
    </w:pPr>
    <w:rPr>
      <w:rFonts w:cs="Times New Roman"/>
      <w:sz w:val="18"/>
      <w:szCs w:val="18"/>
    </w:rPr>
  </w:style>
  <w:style w:type="paragraph" w:styleId="Index1">
    <w:name w:val="index 1"/>
    <w:basedOn w:val="Normal"/>
    <w:next w:val="Normal"/>
    <w:autoRedefine/>
    <w:semiHidden/>
    <w:rsid w:val="00486E79"/>
    <w:pPr>
      <w:numPr>
        <w:numId w:val="1"/>
      </w:numPr>
      <w:spacing w:after="60"/>
    </w:pPr>
    <w:rPr>
      <w:b/>
    </w:rPr>
  </w:style>
  <w:style w:type="paragraph" w:styleId="Index2">
    <w:name w:val="index 2"/>
    <w:basedOn w:val="Normal"/>
    <w:next w:val="Normal"/>
    <w:autoRedefine/>
    <w:semiHidden/>
    <w:rsid w:val="00486E79"/>
    <w:pPr>
      <w:ind w:left="284"/>
    </w:pPr>
  </w:style>
  <w:style w:type="paragraph" w:styleId="TOC1">
    <w:name w:val="toc 1"/>
    <w:basedOn w:val="Normal"/>
    <w:next w:val="Normal"/>
    <w:autoRedefine/>
    <w:uiPriority w:val="39"/>
    <w:rsid w:val="00C455A7"/>
    <w:pPr>
      <w:numPr>
        <w:numId w:val="15"/>
      </w:numPr>
      <w:tabs>
        <w:tab w:val="left" w:pos="1418"/>
        <w:tab w:val="right" w:leader="dot" w:pos="9637"/>
      </w:tabs>
    </w:pPr>
    <w:rPr>
      <w:rFonts w:cstheme="minorBidi"/>
      <w:b/>
      <w:noProof/>
    </w:rPr>
  </w:style>
  <w:style w:type="paragraph" w:styleId="TOC2">
    <w:name w:val="toc 2"/>
    <w:basedOn w:val="Normal"/>
    <w:next w:val="Normal"/>
    <w:autoRedefine/>
    <w:uiPriority w:val="39"/>
    <w:rsid w:val="00145320"/>
    <w:pPr>
      <w:tabs>
        <w:tab w:val="left" w:pos="1418"/>
        <w:tab w:val="right" w:leader="dot" w:pos="9637"/>
      </w:tabs>
      <w:spacing w:before="60" w:after="60"/>
      <w:ind w:left="1418" w:hanging="992"/>
    </w:pPr>
    <w:rPr>
      <w:rFonts w:cs="Times New Roman"/>
      <w:bCs/>
      <w:noProof/>
    </w:rPr>
  </w:style>
  <w:style w:type="paragraph" w:styleId="TOC3">
    <w:name w:val="toc 3"/>
    <w:basedOn w:val="TOC2"/>
    <w:next w:val="Normal"/>
    <w:autoRedefine/>
    <w:uiPriority w:val="39"/>
    <w:rsid w:val="00DD3375"/>
    <w:pPr>
      <w:spacing w:before="40" w:after="40"/>
    </w:pPr>
    <w:rPr>
      <w:bCs w:val="0"/>
    </w:rPr>
  </w:style>
  <w:style w:type="paragraph" w:customStyle="1" w:styleId="EGWHeadingSummary">
    <w:name w:val="EGW Heading Summary"/>
    <w:basedOn w:val="Normal"/>
    <w:next w:val="Normal"/>
    <w:qFormat/>
    <w:rsid w:val="00807552"/>
    <w:pPr>
      <w:spacing w:before="240"/>
      <w:outlineLvl w:val="3"/>
    </w:pPr>
    <w:rPr>
      <w:b/>
      <w:color w:val="61013E"/>
      <w:sz w:val="28"/>
    </w:rPr>
  </w:style>
  <w:style w:type="paragraph" w:customStyle="1" w:styleId="EGWIndentation2">
    <w:name w:val="EGW Indentation 2"/>
    <w:basedOn w:val="Normal"/>
    <w:qFormat/>
    <w:rsid w:val="003422B9"/>
    <w:pPr>
      <w:ind w:left="720"/>
    </w:pPr>
    <w:rPr>
      <w:bCs/>
    </w:rPr>
  </w:style>
  <w:style w:type="paragraph" w:customStyle="1" w:styleId="EGWIndentation3">
    <w:name w:val="EGW Indentation 3"/>
    <w:basedOn w:val="Normal"/>
    <w:qFormat/>
    <w:rsid w:val="003422B9"/>
    <w:pPr>
      <w:ind w:left="1077"/>
    </w:pPr>
    <w:rPr>
      <w:bCs/>
    </w:rPr>
  </w:style>
  <w:style w:type="paragraph" w:customStyle="1" w:styleId="EGWIndentation4">
    <w:name w:val="EGW Indentation 4"/>
    <w:basedOn w:val="Normal"/>
    <w:qFormat/>
    <w:rsid w:val="003422B9"/>
    <w:pPr>
      <w:ind w:left="1435"/>
    </w:pPr>
    <w:rPr>
      <w:rFonts w:cs="Times New Roman"/>
    </w:rPr>
  </w:style>
  <w:style w:type="paragraph" w:styleId="BalloonText">
    <w:name w:val="Balloon Text"/>
    <w:basedOn w:val="Normal"/>
    <w:link w:val="BalloonTextChar"/>
    <w:semiHidden/>
    <w:unhideWhenUsed/>
    <w:rsid w:val="009A58B6"/>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9A58B6"/>
    <w:rPr>
      <w:rFonts w:ascii="Segoe UI" w:hAnsi="Segoe UI" w:cs="Segoe UI"/>
      <w:sz w:val="18"/>
      <w:szCs w:val="18"/>
      <w:lang w:val="en-GB"/>
    </w:rPr>
  </w:style>
  <w:style w:type="paragraph" w:customStyle="1" w:styleId="EGWHeadingTables">
    <w:name w:val="EGW Heading Tables"/>
    <w:basedOn w:val="Normal"/>
    <w:next w:val="Normal"/>
    <w:autoRedefine/>
    <w:qFormat/>
    <w:rsid w:val="002676B0"/>
    <w:pPr>
      <w:keepNext/>
      <w:numPr>
        <w:numId w:val="9"/>
      </w:numPr>
      <w:spacing w:before="240"/>
      <w:jc w:val="center"/>
    </w:pPr>
    <w:rPr>
      <w:b/>
      <w:color w:val="61013E"/>
      <w:sz w:val="24"/>
    </w:rPr>
  </w:style>
  <w:style w:type="paragraph" w:customStyle="1" w:styleId="EGWSourceTables">
    <w:name w:val="EGW Source Tables"/>
    <w:basedOn w:val="Normal"/>
    <w:next w:val="Normal"/>
    <w:qFormat/>
    <w:rsid w:val="00D61C99"/>
    <w:pPr>
      <w:jc w:val="center"/>
    </w:pPr>
    <w:rPr>
      <w:sz w:val="16"/>
    </w:rPr>
  </w:style>
  <w:style w:type="paragraph" w:styleId="Footer">
    <w:name w:val="footer"/>
    <w:basedOn w:val="Normal"/>
    <w:link w:val="FooterChar"/>
    <w:uiPriority w:val="99"/>
    <w:unhideWhenUsed/>
    <w:rsid w:val="00486E79"/>
    <w:pPr>
      <w:tabs>
        <w:tab w:val="center" w:pos="4536"/>
        <w:tab w:val="right" w:pos="9072"/>
      </w:tabs>
      <w:autoSpaceDE w:val="0"/>
      <w:autoSpaceDN w:val="0"/>
      <w:adjustRightInd w:val="0"/>
    </w:pPr>
    <w:rPr>
      <w:bCs/>
    </w:rPr>
  </w:style>
  <w:style w:type="paragraph" w:customStyle="1" w:styleId="EGWHeading1Chapternumber">
    <w:name w:val="EGW Heading 1 Chapter number"/>
    <w:basedOn w:val="Normal"/>
    <w:next w:val="EGWHeading1"/>
    <w:qFormat/>
    <w:rsid w:val="00844FC0"/>
    <w:pPr>
      <w:numPr>
        <w:numId w:val="7"/>
      </w:numPr>
      <w:spacing w:before="0" w:after="0"/>
      <w:outlineLvl w:val="0"/>
    </w:pPr>
    <w:rPr>
      <w:b/>
      <w:color w:val="61013E"/>
      <w:sz w:val="144"/>
    </w:rPr>
  </w:style>
  <w:style w:type="character" w:customStyle="1" w:styleId="FooterChar">
    <w:name w:val="Footer Char"/>
    <w:link w:val="Footer"/>
    <w:uiPriority w:val="99"/>
    <w:rsid w:val="0055326D"/>
    <w:rPr>
      <w:rFonts w:ascii="Microsoft New Tai Lue" w:hAnsi="Microsoft New Tai Lue" w:cs="Arial"/>
      <w:bCs/>
      <w:sz w:val="22"/>
      <w:szCs w:val="22"/>
      <w:lang w:val="en-GB"/>
    </w:rPr>
  </w:style>
  <w:style w:type="paragraph" w:customStyle="1" w:styleId="EGWTextboxText">
    <w:name w:val="EGW Textbox Text"/>
    <w:basedOn w:val="Normal"/>
    <w:qFormat/>
    <w:rsid w:val="00D61C99"/>
    <w:rPr>
      <w:sz w:val="20"/>
    </w:rPr>
  </w:style>
  <w:style w:type="character" w:customStyle="1" w:styleId="EndnoteTextChar">
    <w:name w:val="Endnote Text Char"/>
    <w:link w:val="EndnoteText"/>
    <w:uiPriority w:val="99"/>
    <w:locked/>
    <w:rsid w:val="0055326D"/>
    <w:rPr>
      <w:rFonts w:ascii="Microsoft New Tai Lue" w:hAnsi="Microsoft New Tai Lue"/>
      <w:sz w:val="18"/>
      <w:szCs w:val="18"/>
      <w:lang w:val="en-GB"/>
    </w:rPr>
  </w:style>
  <w:style w:type="paragraph" w:customStyle="1" w:styleId="EGWSourceFigures">
    <w:name w:val="EGW Source Figures"/>
    <w:basedOn w:val="Normal"/>
    <w:next w:val="Normal"/>
    <w:qFormat/>
    <w:rsid w:val="00D61C99"/>
    <w:pPr>
      <w:jc w:val="center"/>
    </w:pPr>
    <w:rPr>
      <w:sz w:val="16"/>
    </w:rPr>
  </w:style>
  <w:style w:type="paragraph" w:customStyle="1" w:styleId="EGWHeading2">
    <w:name w:val="EGW Heading 2"/>
    <w:basedOn w:val="Normal"/>
    <w:next w:val="Normal"/>
    <w:qFormat/>
    <w:rsid w:val="00844FC0"/>
    <w:pPr>
      <w:numPr>
        <w:ilvl w:val="1"/>
        <w:numId w:val="7"/>
      </w:numPr>
      <w:spacing w:before="240"/>
      <w:outlineLvl w:val="1"/>
    </w:pPr>
    <w:rPr>
      <w:b/>
      <w:color w:val="61013E"/>
      <w:sz w:val="24"/>
    </w:rPr>
  </w:style>
  <w:style w:type="paragraph" w:styleId="List">
    <w:name w:val="List"/>
    <w:basedOn w:val="Normal"/>
    <w:uiPriority w:val="89"/>
    <w:rsid w:val="00522C7C"/>
    <w:pPr>
      <w:widowControl w:val="0"/>
      <w:suppressAutoHyphens/>
    </w:pPr>
    <w:rPr>
      <w:rFonts w:ascii="Times New Roman" w:hAnsi="Times New Roman" w:cs="Tahoma"/>
      <w:kern w:val="1"/>
      <w:sz w:val="24"/>
      <w:szCs w:val="24"/>
    </w:rPr>
  </w:style>
  <w:style w:type="paragraph" w:styleId="CommentText">
    <w:name w:val="annotation text"/>
    <w:aliases w:val="Profundo Comment Text"/>
    <w:basedOn w:val="Normal"/>
    <w:link w:val="CommentTextChar"/>
    <w:unhideWhenUsed/>
    <w:rsid w:val="00486E79"/>
    <w:rPr>
      <w:sz w:val="20"/>
      <w:szCs w:val="20"/>
    </w:rPr>
  </w:style>
  <w:style w:type="character" w:customStyle="1" w:styleId="CommentTextChar">
    <w:name w:val="Comment Text Char"/>
    <w:aliases w:val="Profundo Comment Text Char"/>
    <w:link w:val="CommentText"/>
    <w:rsid w:val="0055326D"/>
    <w:rPr>
      <w:rFonts w:ascii="Microsoft New Tai Lue" w:hAnsi="Microsoft New Tai Lue" w:cs="Arial"/>
      <w:lang w:val="en-GB"/>
    </w:rPr>
  </w:style>
  <w:style w:type="paragraph" w:styleId="CommentSubject">
    <w:name w:val="annotation subject"/>
    <w:basedOn w:val="CommentText"/>
    <w:next w:val="CommentText"/>
    <w:link w:val="CommentSubjectChar"/>
    <w:uiPriority w:val="99"/>
    <w:unhideWhenUsed/>
    <w:rsid w:val="00486E79"/>
    <w:rPr>
      <w:b/>
      <w:bCs/>
    </w:rPr>
  </w:style>
  <w:style w:type="character" w:customStyle="1" w:styleId="CommentSubjectChar">
    <w:name w:val="Comment Subject Char"/>
    <w:link w:val="CommentSubject"/>
    <w:uiPriority w:val="99"/>
    <w:rsid w:val="0055326D"/>
    <w:rPr>
      <w:rFonts w:ascii="Microsoft New Tai Lue" w:hAnsi="Microsoft New Tai Lue" w:cs="Arial"/>
      <w:b/>
      <w:bCs/>
      <w:lang w:val="en-GB"/>
    </w:rPr>
  </w:style>
  <w:style w:type="character" w:styleId="FootnoteReference">
    <w:name w:val="footnote reference"/>
    <w:uiPriority w:val="99"/>
    <w:unhideWhenUsed/>
    <w:rsid w:val="00025DA6"/>
    <w:rPr>
      <w:rFonts w:ascii="Roboto" w:hAnsi="Roboto" w:cs="Times New Roman"/>
      <w:vertAlign w:val="superscript"/>
    </w:rPr>
  </w:style>
  <w:style w:type="paragraph" w:styleId="FootnoteText">
    <w:name w:val="footnote text"/>
    <w:basedOn w:val="Normal"/>
    <w:link w:val="FootnoteTextChar"/>
    <w:uiPriority w:val="99"/>
    <w:unhideWhenUsed/>
    <w:rsid w:val="00486E79"/>
    <w:pPr>
      <w:tabs>
        <w:tab w:val="left" w:pos="284"/>
      </w:tabs>
      <w:ind w:left="284" w:hanging="284"/>
    </w:pPr>
    <w:rPr>
      <w:sz w:val="18"/>
      <w:szCs w:val="20"/>
    </w:rPr>
  </w:style>
  <w:style w:type="character" w:customStyle="1" w:styleId="FootnoteTextChar">
    <w:name w:val="Footnote Text Char"/>
    <w:link w:val="FootnoteText"/>
    <w:uiPriority w:val="99"/>
    <w:rsid w:val="0055326D"/>
    <w:rPr>
      <w:rFonts w:ascii="Microsoft New Tai Lue" w:hAnsi="Microsoft New Tai Lue" w:cs="Arial"/>
      <w:sz w:val="18"/>
      <w:lang w:val="en-GB"/>
    </w:rPr>
  </w:style>
  <w:style w:type="paragraph" w:styleId="TableofFigures">
    <w:name w:val="table of figures"/>
    <w:aliases w:val="Table of Figures and Tables"/>
    <w:basedOn w:val="Normal"/>
    <w:next w:val="Normal"/>
    <w:uiPriority w:val="99"/>
    <w:rsid w:val="00035344"/>
    <w:pPr>
      <w:tabs>
        <w:tab w:val="right" w:leader="dot" w:pos="9637"/>
      </w:tabs>
      <w:ind w:left="1418" w:right="454" w:hanging="1418"/>
    </w:pPr>
    <w:rPr>
      <w:rFonts w:eastAsia="Times New Roman"/>
      <w:b/>
      <w:noProof/>
    </w:rPr>
  </w:style>
  <w:style w:type="character" w:styleId="FollowedHyperlink">
    <w:name w:val="FollowedHyperlink"/>
    <w:basedOn w:val="DefaultParagraphFont"/>
    <w:unhideWhenUsed/>
    <w:rsid w:val="00A835A9"/>
    <w:rPr>
      <w:color w:val="auto"/>
      <w:u w:val="none"/>
    </w:rPr>
  </w:style>
  <w:style w:type="paragraph" w:customStyle="1" w:styleId="EGWHeading3">
    <w:name w:val="EGW Heading 3"/>
    <w:basedOn w:val="Normal"/>
    <w:next w:val="Normal"/>
    <w:qFormat/>
    <w:rsid w:val="00844FC0"/>
    <w:pPr>
      <w:numPr>
        <w:ilvl w:val="2"/>
        <w:numId w:val="7"/>
      </w:numPr>
      <w:spacing w:before="240"/>
      <w:outlineLvl w:val="2"/>
    </w:pPr>
    <w:rPr>
      <w:b/>
      <w:color w:val="61013E"/>
    </w:rPr>
  </w:style>
  <w:style w:type="paragraph" w:customStyle="1" w:styleId="EGWIndentation1">
    <w:name w:val="EGW Indentation 1"/>
    <w:basedOn w:val="Normal"/>
    <w:qFormat/>
    <w:rsid w:val="003422B9"/>
    <w:pPr>
      <w:tabs>
        <w:tab w:val="left" w:pos="357"/>
      </w:tabs>
      <w:ind w:left="357"/>
    </w:pPr>
  </w:style>
  <w:style w:type="paragraph" w:customStyle="1" w:styleId="EGWTableBodytext">
    <w:name w:val="EGW Table Bodytext"/>
    <w:basedOn w:val="Normal"/>
    <w:next w:val="Normal"/>
    <w:qFormat/>
    <w:rsid w:val="001E0EA6"/>
    <w:pPr>
      <w:spacing w:before="0" w:after="0"/>
    </w:pPr>
    <w:rPr>
      <w:color w:val="000000"/>
      <w:sz w:val="20"/>
      <w:szCs w:val="20"/>
    </w:rPr>
  </w:style>
  <w:style w:type="paragraph" w:customStyle="1" w:styleId="EGWEndnoteText">
    <w:name w:val="EGW Endnote Text"/>
    <w:basedOn w:val="EndnoteText"/>
    <w:qFormat/>
    <w:rsid w:val="003422B9"/>
    <w:pPr>
      <w:widowControl w:val="0"/>
      <w:ind w:left="461" w:hanging="461"/>
    </w:pPr>
  </w:style>
  <w:style w:type="paragraph" w:customStyle="1" w:styleId="EGWNumberedList2">
    <w:name w:val="EGW Numbered List 2"/>
    <w:basedOn w:val="Normal"/>
    <w:qFormat/>
    <w:rsid w:val="007E0A1E"/>
    <w:pPr>
      <w:numPr>
        <w:numId w:val="11"/>
      </w:numPr>
      <w:contextualSpacing/>
    </w:pPr>
  </w:style>
  <w:style w:type="paragraph" w:customStyle="1" w:styleId="EGWNumberedList1">
    <w:name w:val="EGW Numbered List 1"/>
    <w:basedOn w:val="Normal"/>
    <w:qFormat/>
    <w:rsid w:val="007E0A1E"/>
    <w:pPr>
      <w:numPr>
        <w:numId w:val="10"/>
      </w:numPr>
      <w:contextualSpacing/>
    </w:pPr>
  </w:style>
  <w:style w:type="paragraph" w:customStyle="1" w:styleId="EGWNumberedList3">
    <w:name w:val="EGW Numbered List 3"/>
    <w:basedOn w:val="Normal"/>
    <w:qFormat/>
    <w:rsid w:val="007E0A1E"/>
    <w:pPr>
      <w:numPr>
        <w:numId w:val="12"/>
      </w:numPr>
      <w:contextualSpacing/>
    </w:pPr>
  </w:style>
  <w:style w:type="paragraph" w:customStyle="1" w:styleId="EGWNumberedList4">
    <w:name w:val="EGW Numbered List 4"/>
    <w:basedOn w:val="Normal"/>
    <w:qFormat/>
    <w:rsid w:val="007E0A1E"/>
    <w:pPr>
      <w:numPr>
        <w:numId w:val="13"/>
      </w:numPr>
      <w:contextualSpacing/>
    </w:pPr>
  </w:style>
  <w:style w:type="paragraph" w:customStyle="1" w:styleId="EGWBulletList1bold">
    <w:name w:val="EGW Bullet List 1 bold"/>
    <w:basedOn w:val="Normal"/>
    <w:next w:val="Normal"/>
    <w:qFormat/>
    <w:rsid w:val="003422B9"/>
    <w:pPr>
      <w:numPr>
        <w:numId w:val="4"/>
      </w:numPr>
      <w:contextualSpacing/>
    </w:pPr>
    <w:rPr>
      <w:b/>
    </w:rPr>
  </w:style>
  <w:style w:type="paragraph" w:customStyle="1" w:styleId="EGWBulletList1">
    <w:name w:val="EGW Bullet List 1"/>
    <w:basedOn w:val="Normal"/>
    <w:qFormat/>
    <w:rsid w:val="00D86734"/>
    <w:pPr>
      <w:numPr>
        <w:numId w:val="3"/>
      </w:numPr>
      <w:tabs>
        <w:tab w:val="right" w:pos="357"/>
      </w:tabs>
      <w:contextualSpacing/>
    </w:pPr>
  </w:style>
  <w:style w:type="paragraph" w:customStyle="1" w:styleId="EGWBulletList2">
    <w:name w:val="EGW Bullet List 2"/>
    <w:basedOn w:val="Normal"/>
    <w:qFormat/>
    <w:rsid w:val="003422B9"/>
    <w:pPr>
      <w:numPr>
        <w:numId w:val="5"/>
      </w:numPr>
      <w:tabs>
        <w:tab w:val="right" w:pos="357"/>
        <w:tab w:val="left" w:pos="720"/>
      </w:tabs>
      <w:contextualSpacing/>
    </w:pPr>
  </w:style>
  <w:style w:type="paragraph" w:customStyle="1" w:styleId="EGWBulletList3">
    <w:name w:val="EGW Bullet List 3"/>
    <w:basedOn w:val="Normal"/>
    <w:qFormat/>
    <w:rsid w:val="003422B9"/>
    <w:pPr>
      <w:numPr>
        <w:numId w:val="6"/>
      </w:numPr>
      <w:contextualSpacing/>
    </w:pPr>
  </w:style>
  <w:style w:type="paragraph" w:customStyle="1" w:styleId="EGWBulletList4">
    <w:name w:val="EGW Bullet List 4"/>
    <w:basedOn w:val="EGWBulletList3"/>
    <w:qFormat/>
    <w:rsid w:val="003422B9"/>
    <w:pPr>
      <w:ind w:left="1077" w:firstLine="0"/>
    </w:pPr>
  </w:style>
  <w:style w:type="paragraph" w:customStyle="1" w:styleId="EGWTitlepageAuthor">
    <w:name w:val="EGW Titlepage Author"/>
    <w:basedOn w:val="Normal"/>
    <w:next w:val="Normal"/>
    <w:qFormat/>
    <w:rsid w:val="001E0EA6"/>
    <w:rPr>
      <w:b/>
      <w:color w:val="000000"/>
      <w:sz w:val="28"/>
    </w:rPr>
  </w:style>
  <w:style w:type="table" w:styleId="TableGrid">
    <w:name w:val="Table Grid"/>
    <w:basedOn w:val="TableNormal"/>
    <w:rsid w:val="002676B0"/>
    <w:rPr>
      <w:rFonts w:ascii="Roboto" w:hAnsi="Roboto"/>
    </w:rPr>
    <w:tblPr>
      <w:jc w:val="center"/>
      <w:tblBorders>
        <w:top w:val="single" w:sz="4" w:space="0" w:color="61013E"/>
        <w:bottom w:val="single" w:sz="4" w:space="0" w:color="61013E"/>
        <w:insideV w:val="single" w:sz="4" w:space="0" w:color="61013E"/>
      </w:tblBorders>
      <w:tblCellMar>
        <w:top w:w="57" w:type="dxa"/>
        <w:left w:w="57" w:type="dxa"/>
        <w:bottom w:w="57" w:type="dxa"/>
        <w:right w:w="57" w:type="dxa"/>
      </w:tblCellMar>
    </w:tblPr>
    <w:trPr>
      <w:jc w:val="center"/>
    </w:trPr>
    <w:tblStylePr w:type="firstRow">
      <w:rPr>
        <w:rFonts w:ascii="Roboto" w:hAnsi="Roboto"/>
        <w:b/>
        <w:sz w:val="20"/>
      </w:rPr>
      <w:tblPr/>
      <w:tcPr>
        <w:tcBorders>
          <w:top w:val="single" w:sz="4" w:space="0" w:color="61013E"/>
          <w:bottom w:val="single" w:sz="4" w:space="0" w:color="61013E"/>
        </w:tcBorders>
      </w:tcPr>
    </w:tblStylePr>
    <w:tblStylePr w:type="lastRow">
      <w:rPr>
        <w:b/>
      </w:rPr>
      <w:tblPr>
        <w:tblCellMar>
          <w:top w:w="57" w:type="dxa"/>
          <w:left w:w="57" w:type="dxa"/>
          <w:bottom w:w="57" w:type="dxa"/>
          <w:right w:w="57" w:type="dxa"/>
        </w:tblCellMar>
      </w:tblPr>
      <w:tcPr>
        <w:tcBorders>
          <w:top w:val="single" w:sz="4" w:space="0" w:color="61013E"/>
          <w:bottom w:val="single" w:sz="4" w:space="0" w:color="61013E"/>
        </w:tcBorders>
      </w:tcPr>
    </w:tblStylePr>
  </w:style>
  <w:style w:type="paragraph" w:styleId="Header">
    <w:name w:val="header"/>
    <w:basedOn w:val="Normal"/>
    <w:link w:val="HeaderChar"/>
    <w:uiPriority w:val="99"/>
    <w:unhideWhenUsed/>
    <w:rsid w:val="00311138"/>
    <w:pPr>
      <w:tabs>
        <w:tab w:val="center" w:pos="4536"/>
        <w:tab w:val="right" w:pos="9072"/>
      </w:tabs>
    </w:pPr>
  </w:style>
  <w:style w:type="character" w:customStyle="1" w:styleId="HeaderChar">
    <w:name w:val="Header Char"/>
    <w:basedOn w:val="DefaultParagraphFont"/>
    <w:link w:val="Header"/>
    <w:uiPriority w:val="99"/>
    <w:rsid w:val="00E231B9"/>
    <w:rPr>
      <w:rFonts w:ascii="Microsoft New Tai Lue" w:hAnsi="Microsoft New Tai Lue" w:cs="Arial"/>
      <w:sz w:val="22"/>
      <w:szCs w:val="22"/>
      <w:lang w:val="en-GB"/>
    </w:rPr>
  </w:style>
  <w:style w:type="character" w:styleId="CommentReference">
    <w:name w:val="annotation reference"/>
    <w:basedOn w:val="DefaultParagraphFont"/>
    <w:unhideWhenUsed/>
    <w:rsid w:val="00940E5F"/>
    <w:rPr>
      <w:sz w:val="16"/>
      <w:szCs w:val="16"/>
    </w:rPr>
  </w:style>
  <w:style w:type="paragraph" w:styleId="TOC4">
    <w:name w:val="toc 4"/>
    <w:basedOn w:val="TOC1"/>
    <w:next w:val="Normal"/>
    <w:autoRedefine/>
    <w:uiPriority w:val="39"/>
    <w:unhideWhenUsed/>
    <w:rsid w:val="00DD3375"/>
    <w:pPr>
      <w:numPr>
        <w:numId w:val="0"/>
      </w:numPr>
      <w:tabs>
        <w:tab w:val="clear" w:pos="1418"/>
      </w:tabs>
    </w:pPr>
  </w:style>
  <w:style w:type="paragraph" w:styleId="TOC6">
    <w:name w:val="toc 6"/>
    <w:basedOn w:val="Normal"/>
    <w:next w:val="Normal"/>
    <w:autoRedefine/>
    <w:semiHidden/>
    <w:unhideWhenUsed/>
    <w:rsid w:val="003D65A3"/>
    <w:pPr>
      <w:spacing w:after="100"/>
      <w:ind w:left="1100"/>
    </w:pPr>
  </w:style>
  <w:style w:type="paragraph" w:customStyle="1" w:styleId="EGWTextboxHeading">
    <w:name w:val="EGW Textbox Heading"/>
    <w:basedOn w:val="Normal"/>
    <w:next w:val="EGWTextboxText"/>
    <w:qFormat/>
    <w:rsid w:val="00844FC0"/>
    <w:pPr>
      <w:spacing w:before="0"/>
    </w:pPr>
    <w:rPr>
      <w:b/>
      <w:color w:val="61013E"/>
    </w:rPr>
  </w:style>
  <w:style w:type="paragraph" w:styleId="Revision">
    <w:name w:val="Revision"/>
    <w:hidden/>
    <w:uiPriority w:val="99"/>
    <w:semiHidden/>
    <w:rsid w:val="00E2078C"/>
    <w:rPr>
      <w:rFonts w:ascii="Microsoft New Tai Lue" w:hAnsi="Microsoft New Tai Lue" w:cs="Arial"/>
      <w:sz w:val="22"/>
      <w:szCs w:val="22"/>
      <w:lang w:val="en-GB"/>
    </w:rPr>
  </w:style>
  <w:style w:type="paragraph" w:customStyle="1" w:styleId="EGWTitlepageDate">
    <w:name w:val="EGW Titlepage Date"/>
    <w:basedOn w:val="Normal"/>
    <w:next w:val="Normal"/>
    <w:autoRedefine/>
    <w:qFormat/>
    <w:rsid w:val="00F32679"/>
    <w:rPr>
      <w:b/>
      <w:noProof/>
      <w:sz w:val="24"/>
      <w:szCs w:val="24"/>
    </w:rPr>
  </w:style>
  <w:style w:type="paragraph" w:customStyle="1" w:styleId="EGWTitlepageSubtitle">
    <w:name w:val="EGW Titlepage Subtitle"/>
    <w:basedOn w:val="Normal"/>
    <w:qFormat/>
    <w:rsid w:val="00844FC0"/>
    <w:pPr>
      <w:spacing w:before="0" w:after="0"/>
    </w:pPr>
    <w:rPr>
      <w:color w:val="61013E"/>
      <w:sz w:val="56"/>
    </w:rPr>
  </w:style>
  <w:style w:type="paragraph" w:customStyle="1" w:styleId="EGWTitlepageTitleReport">
    <w:name w:val="EGW Titlepage Title Report"/>
    <w:basedOn w:val="Normal"/>
    <w:next w:val="Normal"/>
    <w:qFormat/>
    <w:rsid w:val="00735475"/>
    <w:pPr>
      <w:spacing w:before="240" w:after="0"/>
    </w:pPr>
    <w:rPr>
      <w:b/>
      <w:color w:val="61013E"/>
      <w:sz w:val="96"/>
      <w:szCs w:val="96"/>
    </w:rPr>
  </w:style>
  <w:style w:type="paragraph" w:customStyle="1" w:styleId="EGWQuoteLarge">
    <w:name w:val="EGW Quote Large"/>
    <w:basedOn w:val="EGWTitlepageSubtitle"/>
    <w:qFormat/>
    <w:rsid w:val="00300457"/>
    <w:rPr>
      <w:sz w:val="40"/>
      <w:lang w:val="en-US"/>
    </w:rPr>
  </w:style>
  <w:style w:type="paragraph" w:styleId="Quote">
    <w:name w:val="Quote"/>
    <w:basedOn w:val="Normal"/>
    <w:next w:val="Normal"/>
    <w:link w:val="QuoteChar"/>
    <w:uiPriority w:val="29"/>
    <w:semiHidden/>
    <w:qFormat/>
    <w:rsid w:val="00044C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44CA1"/>
    <w:rPr>
      <w:rFonts w:ascii="Roboto" w:hAnsi="Roboto" w:cs="Arial"/>
      <w:i/>
      <w:iCs/>
      <w:color w:val="404040" w:themeColor="text1" w:themeTint="BF"/>
      <w:sz w:val="22"/>
      <w:szCs w:val="22"/>
      <w:lang w:val="en-GB"/>
    </w:rPr>
  </w:style>
  <w:style w:type="paragraph" w:customStyle="1" w:styleId="EGWIntro">
    <w:name w:val="EGW Intro"/>
    <w:basedOn w:val="Normal"/>
    <w:next w:val="EGWHeading2"/>
    <w:qFormat/>
    <w:rsid w:val="009D3C0A"/>
    <w:rPr>
      <w:b/>
      <w:bCs/>
      <w:sz w:val="24"/>
      <w:szCs w:val="24"/>
    </w:rPr>
  </w:style>
  <w:style w:type="paragraph" w:customStyle="1" w:styleId="EGWHeading1">
    <w:name w:val="EGW Heading 1"/>
    <w:basedOn w:val="Normal"/>
    <w:next w:val="EGWIntro"/>
    <w:qFormat/>
    <w:rsid w:val="00844FC0"/>
    <w:pPr>
      <w:spacing w:before="0" w:after="240"/>
      <w:outlineLvl w:val="0"/>
    </w:pPr>
    <w:rPr>
      <w:b/>
      <w:color w:val="61013E"/>
      <w:sz w:val="48"/>
      <w:szCs w:val="44"/>
    </w:rPr>
  </w:style>
  <w:style w:type="paragraph" w:styleId="TOC5">
    <w:name w:val="toc 5"/>
    <w:basedOn w:val="Normal"/>
    <w:next w:val="Normal"/>
    <w:autoRedefine/>
    <w:semiHidden/>
    <w:unhideWhenUsed/>
    <w:rsid w:val="00D37410"/>
    <w:pPr>
      <w:spacing w:after="100"/>
      <w:ind w:left="880"/>
    </w:pPr>
  </w:style>
  <w:style w:type="paragraph" w:styleId="TOC8">
    <w:name w:val="toc 8"/>
    <w:basedOn w:val="Normal"/>
    <w:next w:val="Normal"/>
    <w:autoRedefine/>
    <w:semiHidden/>
    <w:unhideWhenUsed/>
    <w:rsid w:val="00D37410"/>
    <w:pPr>
      <w:spacing w:after="100"/>
      <w:ind w:left="1540"/>
    </w:pPr>
  </w:style>
  <w:style w:type="paragraph" w:customStyle="1" w:styleId="EGWHeadingColophon">
    <w:name w:val="EGW Heading Colophon"/>
    <w:basedOn w:val="Normal"/>
    <w:qFormat/>
    <w:rsid w:val="00844FC0"/>
    <w:rPr>
      <w:b/>
      <w:color w:val="61013E"/>
      <w:sz w:val="28"/>
    </w:rPr>
  </w:style>
  <w:style w:type="paragraph" w:customStyle="1" w:styleId="EGWTableBodytextBulletPoint">
    <w:name w:val="EGW Table Bodytext Bullet Point"/>
    <w:basedOn w:val="EGWTableBodytext"/>
    <w:qFormat/>
    <w:rsid w:val="00760F8C"/>
    <w:pPr>
      <w:framePr w:hSpace="180" w:wrap="around" w:vAnchor="text" w:hAnchor="text" w:xAlign="center" w:y="1"/>
      <w:numPr>
        <w:numId w:val="16"/>
      </w:numPr>
    </w:pPr>
  </w:style>
  <w:style w:type="paragraph" w:customStyle="1" w:styleId="EGWHeadingSummarySmall">
    <w:name w:val="EGW Heading Summary Small"/>
    <w:basedOn w:val="EGWHeadingSummary"/>
    <w:qFormat/>
    <w:rsid w:val="003B6864"/>
    <w:rPr>
      <w:sz w:val="24"/>
      <w:lang w:val="en-US"/>
    </w:rPr>
  </w:style>
  <w:style w:type="paragraph" w:customStyle="1" w:styleId="EGWHeadingTableDutch">
    <w:name w:val="EGW Heading Table Dutch"/>
    <w:basedOn w:val="EGWHeadingTables"/>
    <w:next w:val="Normal"/>
    <w:qFormat/>
    <w:rsid w:val="0004160C"/>
    <w:pPr>
      <w:numPr>
        <w:numId w:val="17"/>
      </w:numPr>
      <w:ind w:left="1021" w:hanging="1021"/>
    </w:pPr>
  </w:style>
  <w:style w:type="paragraph" w:styleId="TOCHeading">
    <w:name w:val="TOC Heading"/>
    <w:basedOn w:val="Heading1"/>
    <w:next w:val="Normal"/>
    <w:uiPriority w:val="39"/>
    <w:semiHidden/>
    <w:unhideWhenUsed/>
    <w:qFormat/>
    <w:rsid w:val="00BC575F"/>
    <w:pPr>
      <w:numPr>
        <w:numId w:val="0"/>
      </w:numPr>
      <w:tabs>
        <w:tab w:val="clear" w:pos="1701"/>
      </w:tabs>
      <w:autoSpaceDE/>
      <w:autoSpaceDN/>
      <w:adjustRightInd/>
      <w:spacing w:before="240" w:after="0"/>
      <w:outlineLvl w:val="9"/>
    </w:pPr>
    <w:rPr>
      <w:rFonts w:asciiTheme="majorHAnsi" w:eastAsiaTheme="majorEastAsia" w:hAnsiTheme="majorHAnsi" w:cstheme="majorBidi"/>
      <w:b w:val="0"/>
      <w:color w:val="7B9E2D" w:themeColor="accent1" w:themeShade="BF"/>
      <w:sz w:val="32"/>
      <w:szCs w:val="32"/>
    </w:rPr>
  </w:style>
  <w:style w:type="paragraph" w:customStyle="1" w:styleId="EGWHeadingFigure">
    <w:name w:val="EGW Heading Figure"/>
    <w:basedOn w:val="Normal"/>
    <w:link w:val="EGWHeadingFigureChar"/>
    <w:qFormat/>
    <w:rsid w:val="002676B0"/>
    <w:pPr>
      <w:keepNext/>
      <w:numPr>
        <w:numId w:val="8"/>
      </w:numPr>
      <w:spacing w:before="240"/>
      <w:jc w:val="center"/>
    </w:pPr>
    <w:rPr>
      <w:b/>
      <w:color w:val="61013E"/>
      <w:szCs w:val="20"/>
    </w:rPr>
  </w:style>
  <w:style w:type="paragraph" w:customStyle="1" w:styleId="EGWHeadingAppendix">
    <w:name w:val="EGW Heading Appendix"/>
    <w:basedOn w:val="Normal"/>
    <w:link w:val="EGWHeadingAppendixChar"/>
    <w:qFormat/>
    <w:rsid w:val="00807552"/>
    <w:pPr>
      <w:numPr>
        <w:numId w:val="14"/>
      </w:numPr>
      <w:tabs>
        <w:tab w:val="left" w:pos="1701"/>
      </w:tabs>
      <w:spacing w:after="240"/>
      <w:ind w:left="357" w:hanging="357"/>
      <w:outlineLvl w:val="3"/>
    </w:pPr>
    <w:rPr>
      <w:rFonts w:cs="Times New Roman"/>
      <w:b/>
      <w:color w:val="61013E"/>
      <w:sz w:val="28"/>
      <w:szCs w:val="28"/>
    </w:rPr>
  </w:style>
  <w:style w:type="character" w:customStyle="1" w:styleId="EGWHeadingFigureChar">
    <w:name w:val="EGW Heading Figure Char"/>
    <w:basedOn w:val="DefaultParagraphFont"/>
    <w:link w:val="EGWHeadingFigure"/>
    <w:rsid w:val="002676B0"/>
    <w:rPr>
      <w:rFonts w:ascii="Roboto" w:hAnsi="Roboto" w:cs="Arial"/>
      <w:b/>
      <w:color w:val="61013E"/>
      <w:sz w:val="22"/>
      <w:lang w:val="en-GB"/>
    </w:rPr>
  </w:style>
  <w:style w:type="character" w:customStyle="1" w:styleId="EGWHeadingAppendixChar">
    <w:name w:val="EGW Heading Appendix Char"/>
    <w:basedOn w:val="DefaultParagraphFont"/>
    <w:link w:val="EGWHeadingAppendix"/>
    <w:rsid w:val="00807552"/>
    <w:rPr>
      <w:rFonts w:ascii="Roboto" w:hAnsi="Roboto"/>
      <w:b/>
      <w:color w:val="61013E"/>
      <w:sz w:val="28"/>
      <w:szCs w:val="28"/>
      <w:lang w:val="en-GB"/>
    </w:rPr>
  </w:style>
  <w:style w:type="paragraph" w:customStyle="1" w:styleId="Default">
    <w:name w:val="Default"/>
    <w:rsid w:val="00A740D6"/>
    <w:pPr>
      <w:autoSpaceDE w:val="0"/>
      <w:autoSpaceDN w:val="0"/>
      <w:adjustRightInd w:val="0"/>
    </w:pPr>
    <w:rPr>
      <w:rFonts w:ascii="Roboto" w:hAnsi="Roboto" w:cs="Roboto"/>
      <w:color w:val="000000"/>
      <w:sz w:val="24"/>
      <w:szCs w:val="24"/>
      <w:lang w:val="en-US"/>
    </w:rPr>
  </w:style>
  <w:style w:type="character" w:styleId="UnresolvedMention">
    <w:name w:val="Unresolved Mention"/>
    <w:basedOn w:val="DefaultParagraphFont"/>
    <w:uiPriority w:val="99"/>
    <w:semiHidden/>
    <w:unhideWhenUsed/>
    <w:rsid w:val="006479B8"/>
    <w:rPr>
      <w:color w:val="605E5C"/>
      <w:shd w:val="clear" w:color="auto" w:fill="E1DFDD"/>
    </w:rPr>
  </w:style>
  <w:style w:type="paragraph" w:styleId="ListParagraph">
    <w:name w:val="List Paragraph"/>
    <w:basedOn w:val="Normal"/>
    <w:uiPriority w:val="34"/>
    <w:qFormat/>
    <w:rsid w:val="00D45722"/>
    <w:pPr>
      <w:spacing w:before="0"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paragraph" w:styleId="NormalWeb">
    <w:name w:val="Normal (Web)"/>
    <w:basedOn w:val="Normal"/>
    <w:semiHidden/>
    <w:unhideWhenUsed/>
    <w:rsid w:val="002324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7540">
      <w:bodyDiv w:val="1"/>
      <w:marLeft w:val="0"/>
      <w:marRight w:val="0"/>
      <w:marTop w:val="0"/>
      <w:marBottom w:val="0"/>
      <w:divBdr>
        <w:top w:val="none" w:sz="0" w:space="0" w:color="auto"/>
        <w:left w:val="none" w:sz="0" w:space="0" w:color="auto"/>
        <w:bottom w:val="none" w:sz="0" w:space="0" w:color="auto"/>
        <w:right w:val="none" w:sz="0" w:space="0" w:color="auto"/>
      </w:divBdr>
    </w:div>
    <w:div w:id="262492587">
      <w:bodyDiv w:val="1"/>
      <w:marLeft w:val="0"/>
      <w:marRight w:val="0"/>
      <w:marTop w:val="0"/>
      <w:marBottom w:val="0"/>
      <w:divBdr>
        <w:top w:val="none" w:sz="0" w:space="0" w:color="auto"/>
        <w:left w:val="none" w:sz="0" w:space="0" w:color="auto"/>
        <w:bottom w:val="none" w:sz="0" w:space="0" w:color="auto"/>
        <w:right w:val="none" w:sz="0" w:space="0" w:color="auto"/>
      </w:divBdr>
    </w:div>
    <w:div w:id="322709560">
      <w:bodyDiv w:val="1"/>
      <w:marLeft w:val="0"/>
      <w:marRight w:val="0"/>
      <w:marTop w:val="0"/>
      <w:marBottom w:val="0"/>
      <w:divBdr>
        <w:top w:val="none" w:sz="0" w:space="0" w:color="auto"/>
        <w:left w:val="none" w:sz="0" w:space="0" w:color="auto"/>
        <w:bottom w:val="none" w:sz="0" w:space="0" w:color="auto"/>
        <w:right w:val="none" w:sz="0" w:space="0" w:color="auto"/>
      </w:divBdr>
    </w:div>
    <w:div w:id="478376767">
      <w:bodyDiv w:val="1"/>
      <w:marLeft w:val="0"/>
      <w:marRight w:val="0"/>
      <w:marTop w:val="0"/>
      <w:marBottom w:val="0"/>
      <w:divBdr>
        <w:top w:val="none" w:sz="0" w:space="0" w:color="auto"/>
        <w:left w:val="none" w:sz="0" w:space="0" w:color="auto"/>
        <w:bottom w:val="none" w:sz="0" w:space="0" w:color="auto"/>
        <w:right w:val="none" w:sz="0" w:space="0" w:color="auto"/>
      </w:divBdr>
    </w:div>
    <w:div w:id="535049321">
      <w:bodyDiv w:val="1"/>
      <w:marLeft w:val="0"/>
      <w:marRight w:val="0"/>
      <w:marTop w:val="0"/>
      <w:marBottom w:val="0"/>
      <w:divBdr>
        <w:top w:val="none" w:sz="0" w:space="0" w:color="auto"/>
        <w:left w:val="none" w:sz="0" w:space="0" w:color="auto"/>
        <w:bottom w:val="none" w:sz="0" w:space="0" w:color="auto"/>
        <w:right w:val="none" w:sz="0" w:space="0" w:color="auto"/>
      </w:divBdr>
    </w:div>
    <w:div w:id="628780412">
      <w:bodyDiv w:val="1"/>
      <w:marLeft w:val="0"/>
      <w:marRight w:val="0"/>
      <w:marTop w:val="0"/>
      <w:marBottom w:val="0"/>
      <w:divBdr>
        <w:top w:val="none" w:sz="0" w:space="0" w:color="auto"/>
        <w:left w:val="none" w:sz="0" w:space="0" w:color="auto"/>
        <w:bottom w:val="none" w:sz="0" w:space="0" w:color="auto"/>
        <w:right w:val="none" w:sz="0" w:space="0" w:color="auto"/>
      </w:divBdr>
    </w:div>
    <w:div w:id="734397361">
      <w:bodyDiv w:val="1"/>
      <w:marLeft w:val="0"/>
      <w:marRight w:val="0"/>
      <w:marTop w:val="0"/>
      <w:marBottom w:val="0"/>
      <w:divBdr>
        <w:top w:val="none" w:sz="0" w:space="0" w:color="auto"/>
        <w:left w:val="none" w:sz="0" w:space="0" w:color="auto"/>
        <w:bottom w:val="none" w:sz="0" w:space="0" w:color="auto"/>
        <w:right w:val="none" w:sz="0" w:space="0" w:color="auto"/>
      </w:divBdr>
    </w:div>
    <w:div w:id="787698460">
      <w:bodyDiv w:val="1"/>
      <w:marLeft w:val="0"/>
      <w:marRight w:val="0"/>
      <w:marTop w:val="0"/>
      <w:marBottom w:val="0"/>
      <w:divBdr>
        <w:top w:val="none" w:sz="0" w:space="0" w:color="auto"/>
        <w:left w:val="none" w:sz="0" w:space="0" w:color="auto"/>
        <w:bottom w:val="none" w:sz="0" w:space="0" w:color="auto"/>
        <w:right w:val="none" w:sz="0" w:space="0" w:color="auto"/>
      </w:divBdr>
      <w:divsChild>
        <w:div w:id="1575050491">
          <w:marLeft w:val="480"/>
          <w:marRight w:val="0"/>
          <w:marTop w:val="0"/>
          <w:marBottom w:val="0"/>
          <w:divBdr>
            <w:top w:val="none" w:sz="0" w:space="0" w:color="auto"/>
            <w:left w:val="none" w:sz="0" w:space="0" w:color="auto"/>
            <w:bottom w:val="none" w:sz="0" w:space="0" w:color="auto"/>
            <w:right w:val="none" w:sz="0" w:space="0" w:color="auto"/>
          </w:divBdr>
          <w:divsChild>
            <w:div w:id="17936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7044">
      <w:bodyDiv w:val="1"/>
      <w:marLeft w:val="0"/>
      <w:marRight w:val="0"/>
      <w:marTop w:val="0"/>
      <w:marBottom w:val="0"/>
      <w:divBdr>
        <w:top w:val="none" w:sz="0" w:space="0" w:color="auto"/>
        <w:left w:val="none" w:sz="0" w:space="0" w:color="auto"/>
        <w:bottom w:val="none" w:sz="0" w:space="0" w:color="auto"/>
        <w:right w:val="none" w:sz="0" w:space="0" w:color="auto"/>
      </w:divBdr>
    </w:div>
    <w:div w:id="1287928202">
      <w:bodyDiv w:val="1"/>
      <w:marLeft w:val="0"/>
      <w:marRight w:val="0"/>
      <w:marTop w:val="0"/>
      <w:marBottom w:val="0"/>
      <w:divBdr>
        <w:top w:val="none" w:sz="0" w:space="0" w:color="auto"/>
        <w:left w:val="none" w:sz="0" w:space="0" w:color="auto"/>
        <w:bottom w:val="none" w:sz="0" w:space="0" w:color="auto"/>
        <w:right w:val="none" w:sz="0" w:space="0" w:color="auto"/>
      </w:divBdr>
    </w:div>
    <w:div w:id="1778258510">
      <w:bodyDiv w:val="1"/>
      <w:marLeft w:val="0"/>
      <w:marRight w:val="0"/>
      <w:marTop w:val="0"/>
      <w:marBottom w:val="0"/>
      <w:divBdr>
        <w:top w:val="none" w:sz="0" w:space="0" w:color="auto"/>
        <w:left w:val="none" w:sz="0" w:space="0" w:color="auto"/>
        <w:bottom w:val="none" w:sz="0" w:space="0" w:color="auto"/>
        <w:right w:val="none" w:sz="0" w:space="0" w:color="auto"/>
      </w:divBdr>
      <w:divsChild>
        <w:div w:id="276572506">
          <w:marLeft w:val="480"/>
          <w:marRight w:val="0"/>
          <w:marTop w:val="0"/>
          <w:marBottom w:val="0"/>
          <w:divBdr>
            <w:top w:val="none" w:sz="0" w:space="0" w:color="auto"/>
            <w:left w:val="none" w:sz="0" w:space="0" w:color="auto"/>
            <w:bottom w:val="none" w:sz="0" w:space="0" w:color="auto"/>
            <w:right w:val="none" w:sz="0" w:space="0" w:color="auto"/>
          </w:divBdr>
          <w:divsChild>
            <w:div w:id="2415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2623">
      <w:bodyDiv w:val="1"/>
      <w:marLeft w:val="0"/>
      <w:marRight w:val="0"/>
      <w:marTop w:val="0"/>
      <w:marBottom w:val="0"/>
      <w:divBdr>
        <w:top w:val="none" w:sz="0" w:space="0" w:color="auto"/>
        <w:left w:val="none" w:sz="0" w:space="0" w:color="auto"/>
        <w:bottom w:val="none" w:sz="0" w:space="0" w:color="auto"/>
        <w:right w:val="none" w:sz="0" w:space="0" w:color="auto"/>
      </w:divBdr>
    </w:div>
    <w:div w:id="1915971097">
      <w:bodyDiv w:val="1"/>
      <w:marLeft w:val="0"/>
      <w:marRight w:val="0"/>
      <w:marTop w:val="0"/>
      <w:marBottom w:val="0"/>
      <w:divBdr>
        <w:top w:val="none" w:sz="0" w:space="0" w:color="auto"/>
        <w:left w:val="none" w:sz="0" w:space="0" w:color="auto"/>
        <w:bottom w:val="none" w:sz="0" w:space="0" w:color="auto"/>
        <w:right w:val="none" w:sz="0" w:space="0" w:color="auto"/>
      </w:divBdr>
    </w:div>
    <w:div w:id="1919246567">
      <w:bodyDiv w:val="1"/>
      <w:marLeft w:val="0"/>
      <w:marRight w:val="0"/>
      <w:marTop w:val="0"/>
      <w:marBottom w:val="0"/>
      <w:divBdr>
        <w:top w:val="none" w:sz="0" w:space="0" w:color="auto"/>
        <w:left w:val="none" w:sz="0" w:space="0" w:color="auto"/>
        <w:bottom w:val="none" w:sz="0" w:space="0" w:color="auto"/>
        <w:right w:val="none" w:sz="0" w:space="0" w:color="auto"/>
      </w:divBdr>
    </w:div>
    <w:div w:id="20268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abp.nl/content/dam/abp/documenten/beleggen/abp-beursgenoteerde-beleggingen.pdf" TargetMode="External"/><Relationship Id="rId2" Type="http://schemas.openxmlformats.org/officeDocument/2006/relationships/hyperlink" Target="https://www.nasdaq.com/press-release/ivanhoe-mines-provides-2024-production-results-2025-productionguidance-2025-01-08" TargetMode="External"/><Relationship Id="rId1" Type="http://schemas.openxmlformats.org/officeDocument/2006/relationships/hyperlink" Target="https://www.mining.com/featuredarticle/ranked-worlds-biggest-copper-mines/" TargetMode="External"/><Relationship Id="rId6" Type="http://schemas.openxmlformats.org/officeDocument/2006/relationships/hyperlink" Target="https://www.bpfbouw.nl/content/dam/bpfbouw/documenten/beleggen/engagementlist-bedrijven-2024-bpfbouw.pdf" TargetMode="External"/><Relationship Id="rId5" Type="http://schemas.openxmlformats.org/officeDocument/2006/relationships/hyperlink" Target="https://www.pfvervoer.nl/sites/default/files/documenten/overzicht-beleggingen.pdf" TargetMode="External"/><Relationship Id="rId4" Type="http://schemas.openxmlformats.org/officeDocument/2006/relationships/hyperlink" Target="https://www.bpfbouw.nl/content/dam/bpfbouw/documenten/beleggen/bpfbouw-aandelenportefeuill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zihaT\Downloads\Report%20template%20Case%20study%20Eerlijke%20Geldwijzer.dotx" TargetMode="External"/></Relationships>
</file>

<file path=word/theme/theme1.xml><?xml version="1.0" encoding="utf-8"?>
<a:theme xmlns:a="http://schemas.openxmlformats.org/drawingml/2006/main" name="Kantoorthema">
  <a:themeElements>
    <a:clrScheme name="Profundo Color Palette">
      <a:dk1>
        <a:srgbClr val="000000"/>
      </a:dk1>
      <a:lt1>
        <a:srgbClr val="FFFFFF"/>
      </a:lt1>
      <a:dk2>
        <a:srgbClr val="000000"/>
      </a:dk2>
      <a:lt2>
        <a:srgbClr val="FFFFFF"/>
      </a:lt2>
      <a:accent1>
        <a:srgbClr val="A1CA47"/>
      </a:accent1>
      <a:accent2>
        <a:srgbClr val="1D4D60"/>
      </a:accent2>
      <a:accent3>
        <a:srgbClr val="216781"/>
      </a:accent3>
      <a:accent4>
        <a:srgbClr val="0F808C"/>
      </a:accent4>
      <a:accent5>
        <a:srgbClr val="38A67E"/>
      </a:accent5>
      <a:accent6>
        <a:srgbClr val="C0E156"/>
      </a:accent6>
      <a:hlink>
        <a:srgbClr val="000000"/>
      </a:hlink>
      <a:folHlink>
        <a:srgbClr val="0000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cap="rnd">
          <a:solidFill>
            <a:schemeClr val="bg1">
              <a:lumMod val="65000"/>
            </a:schemeClr>
          </a:solidFill>
        </a:ln>
      </a:spPr>
      <a:bodyPr rot="0" spcFirstLastPara="0" vertOverflow="overflow" horzOverflow="overflow" vert="horz" wrap="square" lIns="91440" tIns="90000" rIns="91440" bIns="9000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07bda4-74b0-4a79-8f77-a1825cf81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FE07FEFEB3F241A8165272C617446E" ma:contentTypeVersion="10" ma:contentTypeDescription="Create a new document." ma:contentTypeScope="" ma:versionID="87f0e110df8876c8770c7f89109d5822">
  <xsd:schema xmlns:xsd="http://www.w3.org/2001/XMLSchema" xmlns:xs="http://www.w3.org/2001/XMLSchema" xmlns:p="http://schemas.microsoft.com/office/2006/metadata/properties" xmlns:ns3="f907bda4-74b0-4a79-8f77-a1825cf81f3d" targetNamespace="http://schemas.microsoft.com/office/2006/metadata/properties" ma:root="true" ma:fieldsID="2b5612f21788847c8994e9495af67840" ns3:_="">
    <xsd:import namespace="f907bda4-74b0-4a79-8f77-a1825cf81f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bda4-74b0-4a79-8f77-a1825cf81f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F652C-E885-41A0-AED1-2E66DE2A21FE}">
  <ds:schemaRefs>
    <ds:schemaRef ds:uri="http://schemas.microsoft.com/office/2006/metadata/properties"/>
    <ds:schemaRef ds:uri="http://schemas.microsoft.com/office/infopath/2007/PartnerControls"/>
    <ds:schemaRef ds:uri="f907bda4-74b0-4a79-8f77-a1825cf81f3d"/>
  </ds:schemaRefs>
</ds:datastoreItem>
</file>

<file path=customXml/itemProps2.xml><?xml version="1.0" encoding="utf-8"?>
<ds:datastoreItem xmlns:ds="http://schemas.openxmlformats.org/officeDocument/2006/customXml" ds:itemID="{B4D896E5-1768-4935-95A1-F03B3101333D}">
  <ds:schemaRefs>
    <ds:schemaRef ds:uri="http://schemas.openxmlformats.org/officeDocument/2006/bibliography"/>
  </ds:schemaRefs>
</ds:datastoreItem>
</file>

<file path=customXml/itemProps3.xml><?xml version="1.0" encoding="utf-8"?>
<ds:datastoreItem xmlns:ds="http://schemas.openxmlformats.org/officeDocument/2006/customXml" ds:itemID="{EFE09AEE-BA32-47D2-B814-2236CAFDE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bda4-74b0-4a79-8f77-a1825cf8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EAC6C-EA06-422A-BAD3-31615D466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template Case study Eerlijke Geldwijzer</Template>
  <TotalTime>1</TotalTime>
  <Pages>17</Pages>
  <Words>5181</Words>
  <Characters>29534</Characters>
  <Application>Microsoft Office Word</Application>
  <DocSecurity>0</DocSecurity>
  <Lines>246</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Eerlijke Geldwijzer</vt:lpstr>
      <vt:lpstr>Report Profundo</vt:lpstr>
    </vt:vector>
  </TitlesOfParts>
  <Company>Profundo</Company>
  <LinksUpToDate>false</LinksUpToDate>
  <CharactersWithSpaces>34646</CharactersWithSpaces>
  <SharedDoc>false</SharedDoc>
  <HLinks>
    <vt:vector size="36" baseType="variant">
      <vt:variant>
        <vt:i4>1310774</vt:i4>
      </vt:variant>
      <vt:variant>
        <vt:i4>35</vt:i4>
      </vt:variant>
      <vt:variant>
        <vt:i4>0</vt:i4>
      </vt:variant>
      <vt:variant>
        <vt:i4>5</vt:i4>
      </vt:variant>
      <vt:variant>
        <vt:lpwstr/>
      </vt:variant>
      <vt:variant>
        <vt:lpwstr>_Toc198093697</vt:lpwstr>
      </vt:variant>
      <vt:variant>
        <vt:i4>1310774</vt:i4>
      </vt:variant>
      <vt:variant>
        <vt:i4>29</vt:i4>
      </vt:variant>
      <vt:variant>
        <vt:i4>0</vt:i4>
      </vt:variant>
      <vt:variant>
        <vt:i4>5</vt:i4>
      </vt:variant>
      <vt:variant>
        <vt:lpwstr/>
      </vt:variant>
      <vt:variant>
        <vt:lpwstr>_Toc198093696</vt:lpwstr>
      </vt:variant>
      <vt:variant>
        <vt:i4>1310774</vt:i4>
      </vt:variant>
      <vt:variant>
        <vt:i4>23</vt:i4>
      </vt:variant>
      <vt:variant>
        <vt:i4>0</vt:i4>
      </vt:variant>
      <vt:variant>
        <vt:i4>5</vt:i4>
      </vt:variant>
      <vt:variant>
        <vt:lpwstr/>
      </vt:variant>
      <vt:variant>
        <vt:lpwstr>_Toc198093695</vt:lpwstr>
      </vt:variant>
      <vt:variant>
        <vt:i4>1310774</vt:i4>
      </vt:variant>
      <vt:variant>
        <vt:i4>17</vt:i4>
      </vt:variant>
      <vt:variant>
        <vt:i4>0</vt:i4>
      </vt:variant>
      <vt:variant>
        <vt:i4>5</vt:i4>
      </vt:variant>
      <vt:variant>
        <vt:lpwstr/>
      </vt:variant>
      <vt:variant>
        <vt:lpwstr>_Toc198093694</vt:lpwstr>
      </vt:variant>
      <vt:variant>
        <vt:i4>1310774</vt:i4>
      </vt:variant>
      <vt:variant>
        <vt:i4>11</vt:i4>
      </vt:variant>
      <vt:variant>
        <vt:i4>0</vt:i4>
      </vt:variant>
      <vt:variant>
        <vt:i4>5</vt:i4>
      </vt:variant>
      <vt:variant>
        <vt:lpwstr/>
      </vt:variant>
      <vt:variant>
        <vt:lpwstr>_Toc198093693</vt:lpwstr>
      </vt:variant>
      <vt:variant>
        <vt:i4>1310774</vt:i4>
      </vt:variant>
      <vt:variant>
        <vt:i4>5</vt:i4>
      </vt:variant>
      <vt:variant>
        <vt:i4>0</vt:i4>
      </vt:variant>
      <vt:variant>
        <vt:i4>5</vt:i4>
      </vt:variant>
      <vt:variant>
        <vt:lpwstr/>
      </vt:variant>
      <vt:variant>
        <vt:lpwstr>_Toc198093692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Eerlijke Geldwijzer</dc:title>
  <dc:creator>Valerie Schreur</dc:creator>
  <cp:lastModifiedBy>Naziha Tanoti</cp:lastModifiedBy>
  <cp:revision>2</cp:revision>
  <cp:lastPrinted>2025-12-08T13:28:00Z</cp:lastPrinted>
  <dcterms:created xsi:type="dcterms:W3CDTF">2026-01-29T11:10:00Z</dcterms:created>
  <dcterms:modified xsi:type="dcterms:W3CDTF">2026-01-29T11:10:00Z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aeba3cba-05ac-4340-b714-dc2bef5e9744</vt:lpwstr>
  </property>
  <property fmtid="{D5CDD505-2E9C-101B-9397-08002B2CF9AE}" pid="3" name="ContentTypeId">
    <vt:lpwstr>0x0101005DFE07FEFEB3F241A8165272C617446E</vt:lpwstr>
  </property>
</Properties>
</file>